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94E" w:rsidRDefault="004D094E" w:rsidP="004D094E">
      <w:pPr>
        <w:rPr>
          <w:rFonts w:ascii="仿宋_GB2312" w:eastAsia="仿宋_GB2312"/>
          <w:b/>
          <w:sz w:val="28"/>
          <w:szCs w:val="28"/>
        </w:rPr>
      </w:pPr>
      <w:r w:rsidRPr="00DF0A29">
        <w:rPr>
          <w:rFonts w:ascii="仿宋_GB2312" w:eastAsia="仿宋_GB2312" w:hint="eastAsia"/>
          <w:b/>
          <w:sz w:val="28"/>
          <w:szCs w:val="28"/>
        </w:rPr>
        <w:t>附件1：中国卫生经济学会第十七批招标课题背景与目的、内容及产出表</w:t>
      </w:r>
    </w:p>
    <w:tbl>
      <w:tblPr>
        <w:tblW w:w="14860" w:type="dxa"/>
        <w:tblInd w:w="93" w:type="dxa"/>
        <w:tblLook w:val="04A0"/>
      </w:tblPr>
      <w:tblGrid>
        <w:gridCol w:w="724"/>
        <w:gridCol w:w="3239"/>
        <w:gridCol w:w="5205"/>
        <w:gridCol w:w="3444"/>
        <w:gridCol w:w="2248"/>
      </w:tblGrid>
      <w:tr w:rsidR="004D094E" w:rsidRPr="001D507A" w:rsidTr="00025F88">
        <w:trPr>
          <w:trHeight w:val="20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rFonts w:ascii="黑体" w:eastAsia="黑体" w:hAnsi="黑体" w:cs="宋体"/>
                <w:color w:val="000000"/>
                <w:kern w:val="0"/>
                <w:sz w:val="24"/>
              </w:rPr>
            </w:pPr>
            <w:r w:rsidRPr="001D507A">
              <w:rPr>
                <w:rFonts w:ascii="黑体" w:eastAsia="黑体" w:hAnsi="黑体" w:cs="宋体" w:hint="eastAsia"/>
                <w:color w:val="000000"/>
                <w:kern w:val="0"/>
                <w:sz w:val="24"/>
              </w:rPr>
              <w:t>序号</w:t>
            </w:r>
          </w:p>
        </w:tc>
        <w:tc>
          <w:tcPr>
            <w:tcW w:w="3239" w:type="dxa"/>
            <w:tcBorders>
              <w:top w:val="single" w:sz="4" w:space="0" w:color="auto"/>
              <w:left w:val="nil"/>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rFonts w:ascii="黑体" w:eastAsia="黑体" w:hAnsi="黑体" w:cs="宋体"/>
                <w:color w:val="000000"/>
                <w:kern w:val="0"/>
                <w:sz w:val="24"/>
              </w:rPr>
            </w:pPr>
            <w:r w:rsidRPr="001D507A">
              <w:rPr>
                <w:rFonts w:ascii="黑体" w:eastAsia="黑体" w:hAnsi="黑体" w:cs="宋体" w:hint="eastAsia"/>
                <w:color w:val="000000"/>
                <w:kern w:val="0"/>
                <w:sz w:val="24"/>
              </w:rPr>
              <w:t>题目</w:t>
            </w:r>
          </w:p>
        </w:tc>
        <w:tc>
          <w:tcPr>
            <w:tcW w:w="5205" w:type="dxa"/>
            <w:tcBorders>
              <w:top w:val="single" w:sz="4" w:space="0" w:color="auto"/>
              <w:left w:val="nil"/>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rFonts w:ascii="黑体" w:eastAsia="黑体" w:hAnsi="黑体" w:cs="宋体"/>
                <w:color w:val="000000"/>
                <w:kern w:val="0"/>
                <w:sz w:val="24"/>
              </w:rPr>
            </w:pPr>
            <w:r w:rsidRPr="001D507A">
              <w:rPr>
                <w:rFonts w:ascii="黑体" w:eastAsia="黑体" w:hAnsi="黑体" w:cs="宋体" w:hint="eastAsia"/>
                <w:color w:val="000000"/>
                <w:kern w:val="0"/>
                <w:sz w:val="24"/>
              </w:rPr>
              <w:t>研究背景与目的</w:t>
            </w:r>
          </w:p>
        </w:tc>
        <w:tc>
          <w:tcPr>
            <w:tcW w:w="3444" w:type="dxa"/>
            <w:tcBorders>
              <w:top w:val="single" w:sz="4" w:space="0" w:color="auto"/>
              <w:left w:val="nil"/>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rFonts w:ascii="黑体" w:eastAsia="黑体" w:hAnsi="黑体" w:cs="宋体"/>
                <w:color w:val="000000"/>
                <w:kern w:val="0"/>
                <w:sz w:val="24"/>
              </w:rPr>
            </w:pPr>
            <w:r w:rsidRPr="001D507A">
              <w:rPr>
                <w:rFonts w:ascii="黑体" w:eastAsia="黑体" w:hAnsi="黑体" w:cs="宋体" w:hint="eastAsia"/>
                <w:color w:val="000000"/>
                <w:kern w:val="0"/>
                <w:sz w:val="24"/>
              </w:rPr>
              <w:t>研究内容</w:t>
            </w:r>
          </w:p>
        </w:tc>
        <w:tc>
          <w:tcPr>
            <w:tcW w:w="2248" w:type="dxa"/>
            <w:tcBorders>
              <w:top w:val="single" w:sz="4" w:space="0" w:color="auto"/>
              <w:left w:val="nil"/>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rFonts w:ascii="黑体" w:eastAsia="黑体" w:hAnsi="黑体" w:cs="宋体"/>
                <w:color w:val="000000"/>
                <w:kern w:val="0"/>
                <w:sz w:val="24"/>
              </w:rPr>
            </w:pPr>
            <w:r w:rsidRPr="001D507A">
              <w:rPr>
                <w:rFonts w:ascii="黑体" w:eastAsia="黑体" w:hAnsi="黑体" w:cs="宋体" w:hint="eastAsia"/>
                <w:color w:val="000000"/>
                <w:kern w:val="0"/>
                <w:sz w:val="24"/>
              </w:rPr>
              <w:t>研究产出</w:t>
            </w:r>
          </w:p>
        </w:tc>
      </w:tr>
      <w:tr w:rsidR="004D094E" w:rsidRPr="001D507A" w:rsidTr="00025F88">
        <w:trPr>
          <w:trHeight w:val="2312"/>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color w:val="000000"/>
                <w:kern w:val="0"/>
                <w:sz w:val="24"/>
              </w:rPr>
            </w:pPr>
            <w:r w:rsidRPr="001D507A">
              <w:rPr>
                <w:color w:val="000000"/>
                <w:kern w:val="0"/>
                <w:sz w:val="24"/>
              </w:rPr>
              <w:t>1</w:t>
            </w:r>
          </w:p>
        </w:tc>
        <w:tc>
          <w:tcPr>
            <w:tcW w:w="3239" w:type="dxa"/>
            <w:tcBorders>
              <w:top w:val="nil"/>
              <w:left w:val="nil"/>
              <w:bottom w:val="single" w:sz="4" w:space="0" w:color="auto"/>
              <w:right w:val="single" w:sz="4" w:space="0" w:color="auto"/>
            </w:tcBorders>
            <w:shd w:val="clear" w:color="auto" w:fill="auto"/>
            <w:noWrap/>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居民医疗经济负担研究</w:t>
            </w:r>
          </w:p>
        </w:tc>
        <w:tc>
          <w:tcPr>
            <w:tcW w:w="5205" w:type="dxa"/>
            <w:tcBorders>
              <w:top w:val="nil"/>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深化医改以来，随着政府卫生投入力度不断加大，基本医疗保障、商业健康保险和社会办医等社会卫生筹资不断增长，居民个人卫生支出占卫生总费用比重不断下降，但人民群众仍抱怨看病贵，感觉就医经济负担没有明显减轻。通过研究居民医疗经济负担，了解当前居民实际医疗经济负担的情况，分析居民医疗经济负担的主要影响因素，为进一步深化医改，减轻患者负担提供政策借鉴意义。</w:t>
            </w:r>
          </w:p>
        </w:tc>
        <w:tc>
          <w:tcPr>
            <w:tcW w:w="3444" w:type="dxa"/>
            <w:tcBorders>
              <w:top w:val="nil"/>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color w:val="000000"/>
                <w:kern w:val="0"/>
                <w:sz w:val="24"/>
              </w:rPr>
              <w:t>1.</w:t>
            </w:r>
            <w:r w:rsidRPr="001D507A">
              <w:rPr>
                <w:rFonts w:ascii="仿宋_GB2312" w:eastAsia="仿宋_GB2312" w:hAnsi="宋体" w:cs="宋体" w:hint="eastAsia"/>
                <w:color w:val="000000"/>
                <w:kern w:val="0"/>
                <w:sz w:val="24"/>
              </w:rPr>
              <w:t>研究测算当前居民实际医疗经济负担水平及其对居民经济状况的影响。</w:t>
            </w:r>
            <w:r w:rsidRPr="001D507A">
              <w:rPr>
                <w:rFonts w:ascii="仿宋_GB2312" w:eastAsia="仿宋_GB2312" w:hAnsi="宋体" w:cs="宋体"/>
                <w:color w:val="000000"/>
                <w:kern w:val="0"/>
                <w:sz w:val="24"/>
              </w:rPr>
              <w:t>2.</w:t>
            </w:r>
            <w:r w:rsidRPr="001D507A">
              <w:rPr>
                <w:rFonts w:ascii="仿宋_GB2312" w:eastAsia="仿宋_GB2312" w:hAnsi="宋体" w:cs="宋体" w:hint="eastAsia"/>
                <w:color w:val="000000"/>
                <w:kern w:val="0"/>
                <w:sz w:val="24"/>
              </w:rPr>
              <w:t>分析影响居民实际医疗经济负担的主要因素。</w:t>
            </w:r>
            <w:r w:rsidRPr="001D507A">
              <w:rPr>
                <w:rFonts w:ascii="仿宋_GB2312" w:eastAsia="仿宋_GB2312" w:hAnsi="宋体" w:cs="宋体"/>
                <w:color w:val="000000"/>
                <w:kern w:val="0"/>
                <w:sz w:val="24"/>
              </w:rPr>
              <w:t>3.</w:t>
            </w:r>
            <w:r w:rsidRPr="001D507A">
              <w:rPr>
                <w:rFonts w:ascii="仿宋_GB2312" w:eastAsia="仿宋_GB2312" w:hAnsi="宋体" w:cs="宋体" w:hint="eastAsia"/>
                <w:color w:val="000000"/>
                <w:kern w:val="0"/>
                <w:sz w:val="24"/>
              </w:rPr>
              <w:t>结合当前深化医改的主要措施和目标要求，提出缓解居民实际医疗经济负担的政策建议。</w:t>
            </w:r>
          </w:p>
        </w:tc>
        <w:tc>
          <w:tcPr>
            <w:tcW w:w="2248" w:type="dxa"/>
            <w:tcBorders>
              <w:top w:val="single" w:sz="4" w:space="0" w:color="auto"/>
              <w:left w:val="nil"/>
              <w:bottom w:val="single" w:sz="4" w:space="0" w:color="auto"/>
              <w:right w:val="single" w:sz="4" w:space="0" w:color="auto"/>
            </w:tcBorders>
            <w:shd w:val="clear" w:color="auto" w:fill="auto"/>
            <w:vAlign w:val="center"/>
            <w:hideMark/>
          </w:tcPr>
          <w:p w:rsidR="004D094E" w:rsidRPr="001D507A" w:rsidRDefault="004D094E" w:rsidP="00025F88">
            <w:pPr>
              <w:widowControl/>
              <w:rPr>
                <w:color w:val="000000"/>
                <w:kern w:val="0"/>
                <w:sz w:val="24"/>
              </w:rPr>
            </w:pPr>
            <w:r w:rsidRPr="001D507A">
              <w:rPr>
                <w:rFonts w:ascii="仿宋_GB2312" w:eastAsia="仿宋_GB2312" w:hAnsi="宋体" w:cs="宋体"/>
                <w:color w:val="000000"/>
                <w:kern w:val="0"/>
                <w:sz w:val="24"/>
              </w:rPr>
              <w:t>1.</w:t>
            </w:r>
            <w:r w:rsidRPr="001D507A">
              <w:rPr>
                <w:rFonts w:ascii="仿宋_GB2312" w:eastAsia="仿宋_GB2312" w:hAnsi="宋体" w:cs="宋体" w:hint="eastAsia"/>
                <w:color w:val="000000"/>
                <w:kern w:val="0"/>
                <w:sz w:val="24"/>
              </w:rPr>
              <w:t>居民医疗经济负担研究报告。</w:t>
            </w:r>
            <w:r w:rsidRPr="001D507A">
              <w:rPr>
                <w:rFonts w:ascii="仿宋_GB2312" w:eastAsia="仿宋_GB2312" w:hAnsi="宋体" w:cs="宋体"/>
                <w:color w:val="000000"/>
                <w:kern w:val="0"/>
                <w:sz w:val="24"/>
              </w:rPr>
              <w:t>2.</w:t>
            </w:r>
            <w:r w:rsidRPr="001D507A">
              <w:rPr>
                <w:rFonts w:ascii="仿宋_GB2312" w:eastAsia="仿宋_GB2312" w:hAnsi="宋体" w:cs="宋体" w:hint="eastAsia"/>
                <w:color w:val="000000"/>
                <w:kern w:val="0"/>
                <w:sz w:val="24"/>
              </w:rPr>
              <w:t>提出缓解居民实际医疗经济负担的政策建议。</w:t>
            </w:r>
          </w:p>
        </w:tc>
      </w:tr>
      <w:tr w:rsidR="004D094E" w:rsidRPr="001D507A" w:rsidTr="00025F88">
        <w:trPr>
          <w:trHeight w:val="4443"/>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color w:val="000000"/>
                <w:kern w:val="0"/>
                <w:sz w:val="24"/>
              </w:rPr>
            </w:pPr>
            <w:r w:rsidRPr="001D507A">
              <w:rPr>
                <w:color w:val="000000"/>
                <w:kern w:val="0"/>
                <w:sz w:val="24"/>
              </w:rPr>
              <w:t>2</w:t>
            </w:r>
          </w:p>
        </w:tc>
        <w:tc>
          <w:tcPr>
            <w:tcW w:w="3239" w:type="dxa"/>
            <w:tcBorders>
              <w:top w:val="nil"/>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第三方支付在公立医院的应用和规范化管理研究</w:t>
            </w:r>
          </w:p>
        </w:tc>
        <w:tc>
          <w:tcPr>
            <w:tcW w:w="5205" w:type="dxa"/>
            <w:tcBorders>
              <w:top w:val="nil"/>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发挥</w:t>
            </w:r>
            <w:r w:rsidRPr="001D507A">
              <w:rPr>
                <w:rFonts w:eastAsia="仿宋_GB2312"/>
                <w:color w:val="000000"/>
                <w:kern w:val="0"/>
                <w:sz w:val="24"/>
              </w:rPr>
              <w:t>“</w:t>
            </w:r>
            <w:r w:rsidRPr="001D507A">
              <w:rPr>
                <w:rFonts w:ascii="仿宋_GB2312" w:eastAsia="仿宋_GB2312" w:hAnsi="宋体" w:cs="宋体" w:hint="eastAsia"/>
                <w:color w:val="000000"/>
                <w:kern w:val="0"/>
                <w:sz w:val="24"/>
              </w:rPr>
              <w:t>互联网</w:t>
            </w:r>
            <w:r w:rsidRPr="001D507A">
              <w:rPr>
                <w:rFonts w:eastAsia="仿宋_GB2312"/>
                <w:color w:val="000000"/>
                <w:kern w:val="0"/>
                <w:sz w:val="24"/>
              </w:rPr>
              <w:t>+”</w:t>
            </w:r>
            <w:r w:rsidRPr="001D507A">
              <w:rPr>
                <w:rFonts w:ascii="仿宋_GB2312" w:eastAsia="仿宋_GB2312" w:hAnsi="宋体" w:cs="宋体" w:hint="eastAsia"/>
                <w:color w:val="000000"/>
                <w:kern w:val="0"/>
                <w:sz w:val="24"/>
              </w:rPr>
              <w:t>在医疗卫生领域的作用是深化医改的必然趋势。目前部分省份在医疗机构应用第三方平台方面做了一些积极的探索，但仍然处于起步阶段。通过研究如何在公立医院合理推进第三方支付的应用，并进行有效的规范化管理，对提高医院资金管理效率，促进我国医疗卫生事业发展具有多方面作用。</w:t>
            </w:r>
          </w:p>
        </w:tc>
        <w:tc>
          <w:tcPr>
            <w:tcW w:w="3444" w:type="dxa"/>
            <w:tcBorders>
              <w:top w:val="nil"/>
              <w:left w:val="nil"/>
              <w:bottom w:val="single" w:sz="4" w:space="0" w:color="auto"/>
              <w:right w:val="single" w:sz="4" w:space="0" w:color="auto"/>
            </w:tcBorders>
            <w:shd w:val="clear" w:color="auto" w:fill="auto"/>
            <w:vAlign w:val="center"/>
            <w:hideMark/>
          </w:tcPr>
          <w:p w:rsidR="004D094E" w:rsidRPr="001D507A" w:rsidRDefault="004D094E" w:rsidP="00025F88">
            <w:pPr>
              <w:widowControl/>
              <w:rPr>
                <w:color w:val="000000"/>
                <w:kern w:val="0"/>
                <w:sz w:val="24"/>
              </w:rPr>
            </w:pPr>
            <w:r w:rsidRPr="001D507A">
              <w:rPr>
                <w:rFonts w:ascii="仿宋_GB2312" w:eastAsia="仿宋_GB2312" w:hAnsi="宋体" w:cs="宋体"/>
                <w:color w:val="000000"/>
                <w:kern w:val="0"/>
                <w:sz w:val="24"/>
              </w:rPr>
              <w:t>1.</w:t>
            </w:r>
            <w:r w:rsidRPr="001D507A">
              <w:rPr>
                <w:rFonts w:ascii="仿宋_GB2312" w:eastAsia="仿宋_GB2312" w:hAnsi="宋体" w:cs="宋体" w:hint="eastAsia"/>
                <w:color w:val="000000"/>
                <w:kern w:val="0"/>
                <w:sz w:val="24"/>
              </w:rPr>
              <w:t>第三方支付的内涵、常用形式、作用和意义。</w:t>
            </w:r>
            <w:r w:rsidRPr="001D507A">
              <w:rPr>
                <w:rFonts w:ascii="仿宋_GB2312" w:eastAsia="仿宋_GB2312" w:hAnsi="宋体" w:cs="宋体"/>
                <w:color w:val="000000"/>
                <w:kern w:val="0"/>
                <w:sz w:val="24"/>
              </w:rPr>
              <w:t>2.</w:t>
            </w:r>
            <w:r w:rsidRPr="001D507A">
              <w:rPr>
                <w:rFonts w:ascii="仿宋_GB2312" w:eastAsia="仿宋_GB2312" w:hAnsi="宋体" w:cs="宋体" w:hint="eastAsia"/>
                <w:color w:val="000000"/>
                <w:kern w:val="0"/>
                <w:sz w:val="24"/>
              </w:rPr>
              <w:t>梳理总结各地公立医院探索应用第三方支付的方式和经验。</w:t>
            </w:r>
            <w:r w:rsidRPr="001D507A">
              <w:rPr>
                <w:rFonts w:ascii="仿宋_GB2312" w:eastAsia="仿宋_GB2312" w:hAnsi="宋体" w:cs="宋体"/>
                <w:color w:val="000000"/>
                <w:kern w:val="0"/>
                <w:sz w:val="24"/>
              </w:rPr>
              <w:t>3.</w:t>
            </w:r>
            <w:r w:rsidRPr="001D507A">
              <w:rPr>
                <w:rFonts w:ascii="仿宋_GB2312" w:eastAsia="仿宋_GB2312" w:hAnsi="宋体" w:cs="宋体" w:hint="eastAsia"/>
                <w:color w:val="000000"/>
                <w:kern w:val="0"/>
                <w:sz w:val="24"/>
              </w:rPr>
              <w:t>研究分析在公立医院推行第三方支付与其他行业的异同，针对存在各类的风险，提出控制措施和解决方法。</w:t>
            </w:r>
            <w:r w:rsidRPr="001D507A">
              <w:rPr>
                <w:rFonts w:ascii="仿宋_GB2312" w:eastAsia="仿宋_GB2312" w:hAnsi="宋体" w:cs="宋体"/>
                <w:color w:val="000000"/>
                <w:kern w:val="0"/>
                <w:sz w:val="24"/>
              </w:rPr>
              <w:t>4.</w:t>
            </w:r>
            <w:r w:rsidRPr="001D507A">
              <w:rPr>
                <w:rFonts w:ascii="仿宋_GB2312" w:eastAsia="仿宋_GB2312" w:hAnsi="宋体" w:cs="宋体" w:hint="eastAsia"/>
                <w:color w:val="000000"/>
                <w:kern w:val="0"/>
                <w:sz w:val="24"/>
              </w:rPr>
              <w:t>研究提出推进第三方支付在公立医院应用和规范化管理的政策建议，并形成加快推进第三方支付在公立医院的应用和规范化管理的指导意见（代拟稿）。</w:t>
            </w:r>
          </w:p>
        </w:tc>
        <w:tc>
          <w:tcPr>
            <w:tcW w:w="2248" w:type="dxa"/>
            <w:tcBorders>
              <w:top w:val="single" w:sz="4" w:space="0" w:color="auto"/>
              <w:left w:val="nil"/>
              <w:bottom w:val="single" w:sz="4" w:space="0" w:color="auto"/>
              <w:right w:val="single" w:sz="4" w:space="0" w:color="auto"/>
            </w:tcBorders>
            <w:shd w:val="clear" w:color="auto" w:fill="auto"/>
            <w:vAlign w:val="center"/>
            <w:hideMark/>
          </w:tcPr>
          <w:p w:rsidR="004D094E" w:rsidRPr="001D507A" w:rsidRDefault="004D094E" w:rsidP="00025F88">
            <w:pPr>
              <w:widowControl/>
              <w:rPr>
                <w:color w:val="000000"/>
                <w:kern w:val="0"/>
                <w:sz w:val="24"/>
              </w:rPr>
            </w:pPr>
            <w:r w:rsidRPr="001D507A">
              <w:rPr>
                <w:rFonts w:ascii="仿宋_GB2312" w:eastAsia="仿宋_GB2312" w:hAnsi="宋体" w:cs="宋体"/>
                <w:color w:val="000000"/>
                <w:kern w:val="0"/>
                <w:sz w:val="24"/>
              </w:rPr>
              <w:t>1.</w:t>
            </w:r>
            <w:r w:rsidRPr="001D507A">
              <w:rPr>
                <w:rFonts w:ascii="仿宋_GB2312" w:eastAsia="仿宋_GB2312" w:hAnsi="宋体" w:cs="宋体" w:hint="eastAsia"/>
                <w:color w:val="000000"/>
                <w:kern w:val="0"/>
                <w:sz w:val="24"/>
              </w:rPr>
              <w:t>第三方支付在公立医院的应用和规范化管理研究报告。</w:t>
            </w:r>
            <w:r w:rsidRPr="006A081F">
              <w:rPr>
                <w:rFonts w:ascii="仿宋_GB2312" w:eastAsia="仿宋_GB2312" w:hAnsi="宋体" w:cs="宋体" w:hint="eastAsia"/>
                <w:color w:val="000000"/>
                <w:kern w:val="0"/>
                <w:sz w:val="24"/>
              </w:rPr>
              <w:t>2.加快推进第三方支付在公立医院的应用和规范化管理的指导意见（代拟稿）。</w:t>
            </w:r>
          </w:p>
        </w:tc>
      </w:tr>
      <w:tr w:rsidR="004D094E" w:rsidRPr="001D507A" w:rsidTr="00025F88">
        <w:trPr>
          <w:trHeight w:val="2199"/>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color w:val="000000"/>
                <w:kern w:val="0"/>
                <w:sz w:val="24"/>
              </w:rPr>
            </w:pPr>
            <w:r w:rsidRPr="001D507A">
              <w:rPr>
                <w:color w:val="000000"/>
                <w:kern w:val="0"/>
                <w:sz w:val="24"/>
              </w:rPr>
              <w:lastRenderedPageBreak/>
              <w:t>3</w:t>
            </w:r>
          </w:p>
        </w:tc>
        <w:tc>
          <w:tcPr>
            <w:tcW w:w="3239" w:type="dxa"/>
            <w:tcBorders>
              <w:top w:val="single" w:sz="4" w:space="0" w:color="auto"/>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分级诊疗对公立医院经济运行的影响及对策研究</w:t>
            </w:r>
          </w:p>
        </w:tc>
        <w:tc>
          <w:tcPr>
            <w:tcW w:w="5205" w:type="dxa"/>
            <w:tcBorders>
              <w:top w:val="single" w:sz="4" w:space="0" w:color="auto"/>
              <w:left w:val="nil"/>
              <w:bottom w:val="single" w:sz="4" w:space="0" w:color="auto"/>
              <w:right w:val="single" w:sz="4" w:space="0" w:color="auto"/>
            </w:tcBorders>
            <w:shd w:val="clear" w:color="auto" w:fill="auto"/>
            <w:vAlign w:val="center"/>
            <w:hideMark/>
          </w:tcPr>
          <w:p w:rsidR="004D094E"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1.背景：《国务院办公厅关于推进分级诊疗制度建设的指导意见》（国办发〔2015〕70号）提出，建立分级诊疗制度，促进分级诊疗服务能力提升。分级诊疗模式将对公立医院经济运行产生重要影响。</w:t>
            </w:r>
          </w:p>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2.目的：落实分级诊疗制度建设的指导意见，进一步研究分级诊疗对公立医院经济运行的影响及相关对策建议。</w:t>
            </w:r>
          </w:p>
        </w:tc>
        <w:tc>
          <w:tcPr>
            <w:tcW w:w="3444" w:type="dxa"/>
            <w:tcBorders>
              <w:top w:val="single" w:sz="4" w:space="0" w:color="auto"/>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1.分级诊疗实施主要评估模式。2.分级诊疗对公立医院经济运行的影响，主要要素和主要经济指标对比分析。3.综合医院、专科医院，本地区、全国范围公立医院实施分级诊疗对经济运行情况对比分析和测算分析。4.需要应对主要情况。5.意见和建议。</w:t>
            </w:r>
          </w:p>
        </w:tc>
        <w:tc>
          <w:tcPr>
            <w:tcW w:w="2248" w:type="dxa"/>
            <w:tcBorders>
              <w:top w:val="single" w:sz="4" w:space="0" w:color="auto"/>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深入分析分级诊疗对公立医院经济运行的影响，进行主要要素、因素和经济指标分析，提出对策建议。</w:t>
            </w:r>
          </w:p>
        </w:tc>
      </w:tr>
      <w:tr w:rsidR="004D094E" w:rsidRPr="001D507A" w:rsidTr="00025F88">
        <w:trPr>
          <w:trHeight w:val="2354"/>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color w:val="000000"/>
                <w:kern w:val="0"/>
                <w:sz w:val="24"/>
              </w:rPr>
            </w:pPr>
            <w:r w:rsidRPr="001D507A">
              <w:rPr>
                <w:color w:val="000000"/>
                <w:kern w:val="0"/>
                <w:sz w:val="24"/>
              </w:rPr>
              <w:t>4</w:t>
            </w:r>
          </w:p>
        </w:tc>
        <w:tc>
          <w:tcPr>
            <w:tcW w:w="3239" w:type="dxa"/>
            <w:tcBorders>
              <w:top w:val="nil"/>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公立医院经济管理大数据平台建设和数据分析研究应用</w:t>
            </w:r>
          </w:p>
        </w:tc>
        <w:tc>
          <w:tcPr>
            <w:tcW w:w="5205" w:type="dxa"/>
            <w:tcBorders>
              <w:top w:val="nil"/>
              <w:left w:val="nil"/>
              <w:bottom w:val="single" w:sz="4" w:space="0" w:color="auto"/>
              <w:right w:val="single" w:sz="4" w:space="0" w:color="auto"/>
            </w:tcBorders>
            <w:shd w:val="clear" w:color="auto" w:fill="auto"/>
            <w:vAlign w:val="center"/>
            <w:hideMark/>
          </w:tcPr>
          <w:p w:rsidR="004D094E"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1.背景：开展医院经济管理大数据分析与数据研究，进行数据价值提升，加强公立医院经济管理。</w:t>
            </w:r>
          </w:p>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2.目的：研究公立医院经济管理大数据平台建设可行性，进行数据管理和应用研究。</w:t>
            </w:r>
          </w:p>
        </w:tc>
        <w:tc>
          <w:tcPr>
            <w:tcW w:w="3444" w:type="dxa"/>
            <w:tcBorders>
              <w:top w:val="nil"/>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1.公立医院经济管理大数据平台可行性研究。2.公立医院经济管理数据分类分析和管理。3.公立医院经济管理大平台数据如何应用，如何服务公立医院改革和医院管理。4.公立医院经济管理数据分析应用报告制度，有关措施和办法。5.意见和建议。</w:t>
            </w:r>
          </w:p>
        </w:tc>
        <w:tc>
          <w:tcPr>
            <w:tcW w:w="2248" w:type="dxa"/>
            <w:tcBorders>
              <w:top w:val="single" w:sz="4" w:space="0" w:color="auto"/>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公立医院大数据分析与数据研究应用分析报告。</w:t>
            </w:r>
          </w:p>
        </w:tc>
      </w:tr>
      <w:tr w:rsidR="004D094E" w:rsidRPr="001D507A" w:rsidTr="00025F88">
        <w:trPr>
          <w:trHeight w:val="1308"/>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rFonts w:ascii="宋体" w:hAnsi="宋体" w:cs="宋体"/>
                <w:color w:val="000000"/>
                <w:kern w:val="0"/>
                <w:sz w:val="26"/>
                <w:szCs w:val="26"/>
              </w:rPr>
            </w:pPr>
            <w:r w:rsidRPr="001D507A">
              <w:rPr>
                <w:rFonts w:ascii="宋体" w:hAnsi="宋体" w:cs="宋体" w:hint="eastAsia"/>
                <w:color w:val="000000"/>
                <w:kern w:val="0"/>
                <w:sz w:val="26"/>
                <w:szCs w:val="26"/>
              </w:rPr>
              <w:t>5</w:t>
            </w:r>
          </w:p>
        </w:tc>
        <w:tc>
          <w:tcPr>
            <w:tcW w:w="3239" w:type="dxa"/>
            <w:tcBorders>
              <w:top w:val="nil"/>
              <w:left w:val="nil"/>
              <w:bottom w:val="single" w:sz="4" w:space="0" w:color="auto"/>
              <w:right w:val="single" w:sz="4" w:space="0" w:color="auto"/>
            </w:tcBorders>
            <w:shd w:val="clear" w:color="auto" w:fill="auto"/>
            <w:noWrap/>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医疗服务价格动态调整机制研究</w:t>
            </w:r>
          </w:p>
        </w:tc>
        <w:tc>
          <w:tcPr>
            <w:tcW w:w="5205" w:type="dxa"/>
            <w:tcBorders>
              <w:top w:val="nil"/>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发改委将与我委、人力资源和社保部共同出台《推进医疗服务价格改革的意见》，明确要求建立医疗服务价格动态调整机制。</w:t>
            </w:r>
          </w:p>
        </w:tc>
        <w:tc>
          <w:tcPr>
            <w:tcW w:w="3444" w:type="dxa"/>
            <w:tcBorders>
              <w:top w:val="nil"/>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医疗服务价格的现状，形成机制和动态调整机制。</w:t>
            </w:r>
          </w:p>
        </w:tc>
        <w:tc>
          <w:tcPr>
            <w:tcW w:w="2248" w:type="dxa"/>
            <w:tcBorders>
              <w:top w:val="single" w:sz="4" w:space="0" w:color="auto"/>
              <w:left w:val="nil"/>
              <w:bottom w:val="single" w:sz="4" w:space="0" w:color="auto"/>
              <w:right w:val="single" w:sz="4" w:space="0" w:color="000000"/>
            </w:tcBorders>
            <w:shd w:val="clear" w:color="auto" w:fill="auto"/>
            <w:vAlign w:val="center"/>
            <w:hideMark/>
          </w:tcPr>
          <w:p w:rsidR="004D094E" w:rsidRPr="001D507A" w:rsidRDefault="004D094E" w:rsidP="00025F88">
            <w:pPr>
              <w:widowControl/>
              <w:jc w:val="left"/>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医疗服务价格动态调整机制。</w:t>
            </w:r>
          </w:p>
        </w:tc>
      </w:tr>
      <w:tr w:rsidR="004D094E" w:rsidRPr="001D507A" w:rsidTr="00025F88">
        <w:trPr>
          <w:trHeight w:val="144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094E" w:rsidRPr="001D507A" w:rsidRDefault="004D094E" w:rsidP="00025F88">
            <w:pPr>
              <w:widowControl/>
              <w:jc w:val="center"/>
              <w:rPr>
                <w:rFonts w:ascii="宋体" w:hAnsi="宋体" w:cs="宋体"/>
                <w:color w:val="000000"/>
                <w:kern w:val="0"/>
                <w:sz w:val="26"/>
                <w:szCs w:val="26"/>
              </w:rPr>
            </w:pPr>
            <w:r w:rsidRPr="001D507A">
              <w:rPr>
                <w:rFonts w:ascii="宋体" w:hAnsi="宋体" w:cs="宋体" w:hint="eastAsia"/>
                <w:color w:val="000000"/>
                <w:kern w:val="0"/>
                <w:sz w:val="26"/>
                <w:szCs w:val="26"/>
              </w:rPr>
              <w:t>6</w:t>
            </w:r>
          </w:p>
        </w:tc>
        <w:tc>
          <w:tcPr>
            <w:tcW w:w="3239" w:type="dxa"/>
            <w:tcBorders>
              <w:top w:val="single" w:sz="4" w:space="0" w:color="auto"/>
              <w:left w:val="nil"/>
              <w:bottom w:val="single" w:sz="4" w:space="0" w:color="auto"/>
              <w:right w:val="single" w:sz="4" w:space="0" w:color="auto"/>
            </w:tcBorders>
            <w:shd w:val="clear" w:color="auto" w:fill="auto"/>
            <w:noWrap/>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医疗服务价格谈判形成机制</w:t>
            </w:r>
          </w:p>
        </w:tc>
        <w:tc>
          <w:tcPr>
            <w:tcW w:w="5205" w:type="dxa"/>
            <w:tcBorders>
              <w:top w:val="single" w:sz="4" w:space="0" w:color="auto"/>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发改委将与我委、人力资源和社保部共同出台《推进医疗服务价格改革的意见》，明确要求可探索由政府主导、利益相关方谈判形成价格的机制。</w:t>
            </w:r>
          </w:p>
        </w:tc>
        <w:tc>
          <w:tcPr>
            <w:tcW w:w="3444" w:type="dxa"/>
            <w:tcBorders>
              <w:top w:val="single" w:sz="4" w:space="0" w:color="auto"/>
              <w:left w:val="nil"/>
              <w:bottom w:val="single" w:sz="4" w:space="0" w:color="auto"/>
              <w:right w:val="single" w:sz="4" w:space="0" w:color="auto"/>
            </w:tcBorders>
            <w:shd w:val="clear" w:color="auto" w:fill="auto"/>
            <w:vAlign w:val="center"/>
            <w:hideMark/>
          </w:tcPr>
          <w:p w:rsidR="004D094E" w:rsidRPr="001D507A" w:rsidRDefault="004D094E" w:rsidP="00025F88">
            <w:pPr>
              <w:widowControl/>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医疗服务价格谈判的主体，谈判的规则等。</w:t>
            </w:r>
          </w:p>
        </w:tc>
        <w:tc>
          <w:tcPr>
            <w:tcW w:w="2248" w:type="dxa"/>
            <w:tcBorders>
              <w:top w:val="single" w:sz="4" w:space="0" w:color="auto"/>
              <w:left w:val="nil"/>
              <w:bottom w:val="single" w:sz="4" w:space="0" w:color="auto"/>
              <w:right w:val="single" w:sz="4" w:space="0" w:color="000000"/>
            </w:tcBorders>
            <w:shd w:val="clear" w:color="auto" w:fill="auto"/>
            <w:vAlign w:val="center"/>
            <w:hideMark/>
          </w:tcPr>
          <w:p w:rsidR="004D094E" w:rsidRPr="001D507A" w:rsidRDefault="004D094E" w:rsidP="00025F88">
            <w:pPr>
              <w:widowControl/>
              <w:jc w:val="left"/>
              <w:rPr>
                <w:rFonts w:ascii="仿宋_GB2312" w:eastAsia="仿宋_GB2312" w:hAnsi="宋体" w:cs="宋体"/>
                <w:color w:val="000000"/>
                <w:kern w:val="0"/>
                <w:sz w:val="24"/>
              </w:rPr>
            </w:pPr>
            <w:r w:rsidRPr="001D507A">
              <w:rPr>
                <w:rFonts w:ascii="仿宋_GB2312" w:eastAsia="仿宋_GB2312" w:hAnsi="宋体" w:cs="宋体" w:hint="eastAsia"/>
                <w:color w:val="000000"/>
                <w:kern w:val="0"/>
                <w:sz w:val="24"/>
              </w:rPr>
              <w:t>医疗服务价格谈判形成机制。</w:t>
            </w:r>
          </w:p>
        </w:tc>
      </w:tr>
    </w:tbl>
    <w:p w:rsidR="004D094E" w:rsidRDefault="004D094E" w:rsidP="004D094E">
      <w:pPr>
        <w:spacing w:line="360" w:lineRule="auto"/>
        <w:rPr>
          <w:rFonts w:hint="eastAsia"/>
        </w:rPr>
      </w:pPr>
    </w:p>
    <w:sectPr w:rsidR="004D094E" w:rsidSect="00B9318A">
      <w:pgSz w:w="16838" w:h="11906" w:orient="landscape"/>
      <w:pgMar w:top="1560" w:right="1440" w:bottom="1560" w:left="1440" w:header="851" w:footer="992" w:gutter="0"/>
      <w:cols w:space="425"/>
      <w:docGrid w:type="linesAndChar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D094E"/>
    <w:rsid w:val="004D094E"/>
    <w:rsid w:val="00B9318A"/>
    <w:rsid w:val="00D214E1"/>
    <w:rsid w:val="00F00B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94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236</Words>
  <Characters>1348</Characters>
  <Application>Microsoft Office Word</Application>
  <DocSecurity>0</DocSecurity>
  <Lines>11</Lines>
  <Paragraphs>3</Paragraphs>
  <ScaleCrop>false</ScaleCrop>
  <Company>Hewlett-Packard Company</Company>
  <LinksUpToDate>false</LinksUpToDate>
  <CharactersWithSpaces>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hp01</dc:creator>
  <cp:keywords/>
  <dc:description/>
  <cp:lastModifiedBy>hp01</cp:lastModifiedBy>
  <cp:revision>3</cp:revision>
  <dcterms:created xsi:type="dcterms:W3CDTF">2016-02-03T09:38:00Z</dcterms:created>
  <dcterms:modified xsi:type="dcterms:W3CDTF">2016-02-03T09:42:00Z</dcterms:modified>
</cp:coreProperties>
</file>