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2FCC7">
      <w:pPr>
        <w:tabs>
          <w:tab w:val="left" w:pos="8364"/>
        </w:tabs>
        <w:spacing w:line="360" w:lineRule="auto"/>
        <w:ind w:left="-539" w:leftChars="-257" w:firstLine="420" w:firstLineChars="200"/>
        <w:rPr>
          <w:rFonts w:eastAsia="仿宋"/>
          <w:color w:val="auto"/>
          <w:highlight w:val="none"/>
        </w:rPr>
      </w:pPr>
      <w:r>
        <w:rPr>
          <w:rFonts w:hint="eastAsia" w:eastAsia="仿宋"/>
          <w:color w:val="auto"/>
          <w:highlight w:val="none"/>
        </w:rPr>
        <w:t xml:space="preserve"> </w:t>
      </w:r>
    </w:p>
    <w:p w14:paraId="6B58252C">
      <w:pPr>
        <w:pStyle w:val="2"/>
        <w:rPr>
          <w:color w:val="auto"/>
          <w:highlight w:val="none"/>
        </w:rPr>
      </w:pPr>
    </w:p>
    <w:p w14:paraId="2F9702BF">
      <w:pPr>
        <w:pStyle w:val="2"/>
        <w:ind w:left="0" w:leftChars="0" w:firstLine="0" w:firstLineChars="0"/>
        <w:jc w:val="center"/>
        <w:rPr>
          <w:rFonts w:ascii="仿宋" w:hAnsi="仿宋" w:eastAsia="仿宋" w:cs="仿宋"/>
          <w:b/>
          <w:bCs/>
          <w:color w:val="auto"/>
          <w:spacing w:val="-11"/>
          <w:sz w:val="40"/>
          <w:szCs w:val="48"/>
          <w:highlight w:val="none"/>
        </w:rPr>
      </w:pPr>
    </w:p>
    <w:p w14:paraId="4F51134E">
      <w:pPr>
        <w:pStyle w:val="2"/>
        <w:ind w:left="0" w:leftChars="0" w:firstLine="0" w:firstLineChars="0"/>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 xml:space="preserve"> </w:t>
      </w:r>
      <w:r>
        <w:rPr>
          <w:rFonts w:hint="eastAsia" w:ascii="方正小标宋简体" w:hAnsi="方正小标宋简体" w:eastAsia="方正小标宋简体" w:cs="方正小标宋简体"/>
          <w:color w:val="auto"/>
          <w:sz w:val="44"/>
          <w:szCs w:val="44"/>
          <w:highlight w:val="none"/>
        </w:rPr>
        <w:t>宁夏医科大学内部控制风险评估项目</w:t>
      </w:r>
    </w:p>
    <w:p w14:paraId="745E80D5">
      <w:pPr>
        <w:spacing w:line="360" w:lineRule="auto"/>
        <w:ind w:left="-539" w:leftChars="-257" w:firstLine="420" w:firstLineChars="200"/>
        <w:rPr>
          <w:rFonts w:eastAsia="仿宋"/>
          <w:color w:val="auto"/>
          <w:highlight w:val="none"/>
        </w:rPr>
      </w:pPr>
    </w:p>
    <w:p w14:paraId="688161FD">
      <w:pPr>
        <w:pStyle w:val="2"/>
        <w:rPr>
          <w:color w:val="auto"/>
          <w:highlight w:val="none"/>
        </w:rPr>
      </w:pPr>
    </w:p>
    <w:p w14:paraId="4699156E">
      <w:pPr>
        <w:pStyle w:val="2"/>
        <w:rPr>
          <w:color w:val="auto"/>
          <w:highlight w:val="none"/>
        </w:rPr>
      </w:pPr>
    </w:p>
    <w:p w14:paraId="79D7F3BA">
      <w:pPr>
        <w:pStyle w:val="2"/>
        <w:rPr>
          <w:color w:val="auto"/>
          <w:highlight w:val="none"/>
        </w:rPr>
      </w:pPr>
    </w:p>
    <w:p w14:paraId="6CAE0D72">
      <w:pPr>
        <w:spacing w:line="360" w:lineRule="auto"/>
        <w:ind w:left="-539" w:leftChars="-257" w:firstLine="420" w:firstLineChars="200"/>
        <w:rPr>
          <w:rFonts w:eastAsia="仿宋"/>
          <w:color w:val="auto"/>
          <w:highlight w:val="none"/>
        </w:rPr>
      </w:pPr>
    </w:p>
    <w:p w14:paraId="6C46B763">
      <w:pPr>
        <w:spacing w:line="360" w:lineRule="auto"/>
        <w:jc w:val="center"/>
        <w:rPr>
          <w:rFonts w:eastAsia="仿宋"/>
          <w:b/>
          <w:color w:val="auto"/>
          <w:sz w:val="96"/>
          <w:szCs w:val="96"/>
          <w:highlight w:val="none"/>
        </w:rPr>
      </w:pPr>
      <w:r>
        <w:rPr>
          <w:rFonts w:hint="eastAsia" w:eastAsia="仿宋"/>
          <w:b/>
          <w:color w:val="auto"/>
          <w:sz w:val="96"/>
          <w:szCs w:val="96"/>
          <w:highlight w:val="none"/>
        </w:rPr>
        <w:t>公开招标</w:t>
      </w:r>
      <w:r>
        <w:rPr>
          <w:rFonts w:eastAsia="仿宋"/>
          <w:b/>
          <w:color w:val="auto"/>
          <w:sz w:val="96"/>
          <w:szCs w:val="96"/>
          <w:highlight w:val="none"/>
        </w:rPr>
        <w:t>文件</w:t>
      </w:r>
    </w:p>
    <w:p w14:paraId="6FF63D3C">
      <w:pPr>
        <w:spacing w:line="360" w:lineRule="auto"/>
        <w:ind w:left="1079" w:leftChars="257" w:hanging="540"/>
        <w:jc w:val="center"/>
        <w:rPr>
          <w:rFonts w:eastAsia="仿宋"/>
          <w:b/>
          <w:color w:val="auto"/>
          <w:sz w:val="56"/>
          <w:szCs w:val="56"/>
          <w:highlight w:val="none"/>
        </w:rPr>
      </w:pPr>
    </w:p>
    <w:p w14:paraId="549812C5">
      <w:pPr>
        <w:spacing w:line="240" w:lineRule="atLeast"/>
        <w:rPr>
          <w:rFonts w:ascii="仿宋" w:hAnsi="仿宋" w:eastAsia="仿宋" w:cs="仿宋"/>
          <w:b/>
          <w:color w:val="auto"/>
          <w:sz w:val="40"/>
          <w:szCs w:val="40"/>
          <w:highlight w:val="none"/>
        </w:rPr>
      </w:pPr>
    </w:p>
    <w:p w14:paraId="6914DFAA">
      <w:pPr>
        <w:rPr>
          <w:rFonts w:ascii="仿宋" w:hAnsi="仿宋" w:eastAsia="仿宋" w:cs="仿宋"/>
          <w:color w:val="auto"/>
          <w:highlight w:val="none"/>
        </w:rPr>
      </w:pPr>
    </w:p>
    <w:p w14:paraId="60D55D44">
      <w:pPr>
        <w:pStyle w:val="2"/>
        <w:ind w:left="0" w:leftChars="0" w:firstLine="0" w:firstLineChars="0"/>
        <w:rPr>
          <w:rFonts w:ascii="仿宋" w:hAnsi="仿宋" w:eastAsia="仿宋" w:cs="仿宋"/>
          <w:color w:val="auto"/>
          <w:highlight w:val="none"/>
        </w:rPr>
      </w:pPr>
    </w:p>
    <w:p w14:paraId="7467D1BE">
      <w:pPr>
        <w:rPr>
          <w:rFonts w:ascii="仿宋" w:hAnsi="仿宋" w:eastAsia="仿宋" w:cs="仿宋"/>
          <w:color w:val="auto"/>
          <w:highlight w:val="none"/>
        </w:rPr>
      </w:pPr>
    </w:p>
    <w:p w14:paraId="4DE65045">
      <w:pPr>
        <w:pStyle w:val="2"/>
        <w:ind w:left="0" w:leftChars="0" w:firstLine="0" w:firstLineChars="0"/>
        <w:rPr>
          <w:color w:val="auto"/>
          <w:highlight w:val="none"/>
        </w:rPr>
      </w:pPr>
    </w:p>
    <w:p w14:paraId="17A256CA">
      <w:pPr>
        <w:pStyle w:val="2"/>
        <w:rPr>
          <w:color w:val="auto"/>
          <w:highlight w:val="none"/>
        </w:rPr>
      </w:pPr>
    </w:p>
    <w:p w14:paraId="49E83031">
      <w:pPr>
        <w:pStyle w:val="2"/>
        <w:rPr>
          <w:color w:val="auto"/>
          <w:highlight w:val="none"/>
        </w:rPr>
      </w:pPr>
    </w:p>
    <w:p w14:paraId="6B8D931A">
      <w:pPr>
        <w:pStyle w:val="2"/>
        <w:ind w:left="0" w:leftChars="0" w:firstLine="0" w:firstLineChars="0"/>
        <w:rPr>
          <w:color w:val="auto"/>
          <w:highlight w:val="none"/>
        </w:rPr>
      </w:pPr>
    </w:p>
    <w:p w14:paraId="31513B57">
      <w:pPr>
        <w:pStyle w:val="2"/>
        <w:rPr>
          <w:color w:val="auto"/>
          <w:highlight w:val="none"/>
        </w:rPr>
      </w:pPr>
    </w:p>
    <w:p w14:paraId="145E4BDB">
      <w:pPr>
        <w:pStyle w:val="2"/>
        <w:rPr>
          <w:color w:val="auto"/>
          <w:highlight w:val="none"/>
          <w:u w:val="single"/>
        </w:rPr>
      </w:pPr>
    </w:p>
    <w:p w14:paraId="0090BC79">
      <w:pPr>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宁夏医科大学财务处</w:t>
      </w:r>
    </w:p>
    <w:p w14:paraId="4B9B0C01">
      <w:pPr>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2026年</w:t>
      </w:r>
      <w:r>
        <w:rPr>
          <w:rFonts w:hint="eastAsia" w:ascii="仿宋" w:hAnsi="仿宋" w:eastAsia="仿宋"/>
          <w:b/>
          <w:color w:val="auto"/>
          <w:sz w:val="36"/>
          <w:szCs w:val="36"/>
          <w:highlight w:val="none"/>
          <w:lang w:val="en-US" w:eastAsia="zh-CN"/>
        </w:rPr>
        <w:t>6</w:t>
      </w:r>
      <w:r>
        <w:rPr>
          <w:rFonts w:hint="eastAsia" w:ascii="仿宋" w:hAnsi="仿宋" w:eastAsia="仿宋"/>
          <w:b/>
          <w:color w:val="auto"/>
          <w:sz w:val="36"/>
          <w:szCs w:val="36"/>
          <w:highlight w:val="none"/>
        </w:rPr>
        <w:t xml:space="preserve">月  </w:t>
      </w:r>
    </w:p>
    <w:p w14:paraId="162855FD">
      <w:pPr>
        <w:spacing w:line="560" w:lineRule="exact"/>
        <w:jc w:val="center"/>
        <w:rPr>
          <w:rFonts w:ascii="仿宋_GB2312" w:hAnsi="仿宋_GB2312" w:eastAsia="仿宋_GB2312" w:cs="仿宋_GB2312"/>
          <w:b/>
          <w:bCs/>
          <w:color w:val="auto"/>
          <w:sz w:val="32"/>
          <w:szCs w:val="32"/>
          <w:highlight w:val="none"/>
        </w:rPr>
        <w:sectPr>
          <w:pgSz w:w="11906" w:h="16838"/>
          <w:pgMar w:top="1440" w:right="1457" w:bottom="1440" w:left="1457" w:header="851" w:footer="992" w:gutter="0"/>
          <w:pgNumType w:start="1"/>
          <w:cols w:space="720" w:num="1"/>
          <w:docGrid w:type="linesAndChars" w:linePitch="312" w:charSpace="0"/>
        </w:sectPr>
      </w:pPr>
    </w:p>
    <w:p w14:paraId="24777EC3">
      <w:pPr>
        <w:spacing w:line="56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目 录</w:t>
      </w:r>
    </w:p>
    <w:p w14:paraId="1746CCFE">
      <w:pPr>
        <w:pStyle w:val="18"/>
        <w:tabs>
          <w:tab w:val="right" w:leader="dot" w:pos="8640"/>
          <w:tab w:val="clear" w:pos="8296"/>
        </w:tabs>
        <w:spacing w:line="360" w:lineRule="auto"/>
        <w:rPr>
          <w:color w:val="auto"/>
          <w:sz w:val="22"/>
          <w:szCs w:val="28"/>
          <w:highlight w:val="none"/>
        </w:rPr>
      </w:pPr>
      <w:r>
        <w:rPr>
          <w:rFonts w:hint="eastAsia" w:ascii="仿宋" w:hAnsi="仿宋" w:eastAsia="仿宋" w:cs="仿宋"/>
          <w:caps/>
          <w:color w:val="auto"/>
          <w:sz w:val="28"/>
          <w:szCs w:val="28"/>
          <w:highlight w:val="none"/>
        </w:rPr>
        <w:fldChar w:fldCharType="begin"/>
      </w:r>
      <w:r>
        <w:rPr>
          <w:rFonts w:hint="eastAsia" w:ascii="仿宋" w:hAnsi="仿宋" w:eastAsia="仿宋" w:cs="仿宋"/>
          <w:color w:val="auto"/>
          <w:sz w:val="28"/>
          <w:szCs w:val="28"/>
          <w:highlight w:val="none"/>
        </w:rPr>
        <w:instrText xml:space="preserve"> TOC \o "1-2" \h \z \u </w:instrText>
      </w:r>
      <w:r>
        <w:rPr>
          <w:rFonts w:hint="eastAsia" w:ascii="仿宋" w:hAnsi="仿宋" w:eastAsia="仿宋" w:cs="仿宋"/>
          <w:caps/>
          <w:color w:val="auto"/>
          <w:sz w:val="28"/>
          <w:szCs w:val="28"/>
          <w:highlight w:val="none"/>
        </w:rPr>
        <w:fldChar w:fldCharType="separate"/>
      </w:r>
      <w:r>
        <w:rPr>
          <w:color w:val="auto"/>
          <w:highlight w:val="none"/>
        </w:rPr>
        <w:fldChar w:fldCharType="begin"/>
      </w:r>
      <w:r>
        <w:rPr>
          <w:color w:val="auto"/>
          <w:highlight w:val="none"/>
        </w:rPr>
        <w:instrText xml:space="preserve"> HYPERLINK \l "_Toc5664" </w:instrText>
      </w:r>
      <w:r>
        <w:rPr>
          <w:color w:val="auto"/>
          <w:highlight w:val="none"/>
        </w:rPr>
        <w:fldChar w:fldCharType="separate"/>
      </w:r>
      <w:r>
        <w:rPr>
          <w:rFonts w:hint="eastAsia" w:ascii="仿宋" w:hAnsi="仿宋" w:eastAsia="仿宋"/>
          <w:color w:val="auto"/>
          <w:sz w:val="22"/>
          <w:szCs w:val="28"/>
          <w:highlight w:val="none"/>
        </w:rPr>
        <w:t>第一章 投标邀请</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_Toc5664 \h </w:instrText>
      </w:r>
      <w:r>
        <w:rPr>
          <w:color w:val="auto"/>
          <w:sz w:val="22"/>
          <w:szCs w:val="28"/>
          <w:highlight w:val="none"/>
        </w:rPr>
        <w:fldChar w:fldCharType="separate"/>
      </w:r>
      <w:r>
        <w:rPr>
          <w:color w:val="auto"/>
          <w:sz w:val="22"/>
          <w:szCs w:val="28"/>
          <w:highlight w:val="none"/>
        </w:rPr>
        <w:t>3</w:t>
      </w:r>
      <w:r>
        <w:rPr>
          <w:color w:val="auto"/>
          <w:sz w:val="22"/>
          <w:szCs w:val="28"/>
          <w:highlight w:val="none"/>
        </w:rPr>
        <w:fldChar w:fldCharType="end"/>
      </w:r>
      <w:r>
        <w:rPr>
          <w:color w:val="auto"/>
          <w:sz w:val="22"/>
          <w:szCs w:val="28"/>
          <w:highlight w:val="none"/>
        </w:rPr>
        <w:fldChar w:fldCharType="end"/>
      </w:r>
    </w:p>
    <w:p w14:paraId="1232F110">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"_Toc29301" </w:instrText>
      </w:r>
      <w:r>
        <w:rPr>
          <w:color w:val="auto"/>
          <w:highlight w:val="none"/>
        </w:rPr>
        <w:fldChar w:fldCharType="separate"/>
      </w:r>
      <w:r>
        <w:rPr>
          <w:rFonts w:hint="eastAsia" w:ascii="仿宋" w:hAnsi="仿宋" w:eastAsia="仿宋"/>
          <w:color w:val="auto"/>
          <w:sz w:val="22"/>
          <w:szCs w:val="28"/>
          <w:highlight w:val="none"/>
        </w:rPr>
        <w:t>第二章 供应商须知前附表</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_Toc29301 \h </w:instrText>
      </w:r>
      <w:r>
        <w:rPr>
          <w:color w:val="auto"/>
          <w:sz w:val="22"/>
          <w:szCs w:val="28"/>
          <w:highlight w:val="none"/>
        </w:rPr>
        <w:fldChar w:fldCharType="separate"/>
      </w:r>
      <w:r>
        <w:rPr>
          <w:color w:val="auto"/>
          <w:sz w:val="22"/>
          <w:szCs w:val="28"/>
          <w:highlight w:val="none"/>
        </w:rPr>
        <w:t>5</w:t>
      </w:r>
      <w:r>
        <w:rPr>
          <w:color w:val="auto"/>
          <w:sz w:val="22"/>
          <w:szCs w:val="28"/>
          <w:highlight w:val="none"/>
        </w:rPr>
        <w:fldChar w:fldCharType="end"/>
      </w:r>
      <w:r>
        <w:rPr>
          <w:color w:val="auto"/>
          <w:sz w:val="22"/>
          <w:szCs w:val="28"/>
          <w:highlight w:val="none"/>
        </w:rPr>
        <w:fldChar w:fldCharType="end"/>
      </w:r>
    </w:p>
    <w:p w14:paraId="47569C8C">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"_Toc16205" </w:instrText>
      </w:r>
      <w:r>
        <w:rPr>
          <w:color w:val="auto"/>
          <w:highlight w:val="none"/>
        </w:rPr>
        <w:fldChar w:fldCharType="separate"/>
      </w:r>
      <w:r>
        <w:rPr>
          <w:rFonts w:hint="eastAsia" w:ascii="仿宋" w:hAnsi="仿宋" w:eastAsia="仿宋"/>
          <w:color w:val="auto"/>
          <w:sz w:val="22"/>
          <w:szCs w:val="28"/>
          <w:highlight w:val="none"/>
        </w:rPr>
        <w:t>第三章 供应商须知</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_Toc16205 \h </w:instrText>
      </w:r>
      <w:r>
        <w:rPr>
          <w:color w:val="auto"/>
          <w:sz w:val="22"/>
          <w:szCs w:val="28"/>
          <w:highlight w:val="none"/>
        </w:rPr>
        <w:fldChar w:fldCharType="separate"/>
      </w:r>
      <w:r>
        <w:rPr>
          <w:color w:val="auto"/>
          <w:sz w:val="22"/>
          <w:szCs w:val="28"/>
          <w:highlight w:val="none"/>
        </w:rPr>
        <w:t>7</w:t>
      </w:r>
      <w:r>
        <w:rPr>
          <w:color w:val="auto"/>
          <w:sz w:val="22"/>
          <w:szCs w:val="28"/>
          <w:highlight w:val="none"/>
        </w:rPr>
        <w:fldChar w:fldCharType="end"/>
      </w:r>
      <w:r>
        <w:rPr>
          <w:color w:val="auto"/>
          <w:sz w:val="22"/>
          <w:szCs w:val="28"/>
          <w:highlight w:val="none"/>
        </w:rPr>
        <w:fldChar w:fldCharType="end"/>
      </w:r>
    </w:p>
    <w:p w14:paraId="60C0875E">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"_Toc17642" </w:instrText>
      </w:r>
      <w:r>
        <w:rPr>
          <w:color w:val="auto"/>
          <w:highlight w:val="none"/>
        </w:rPr>
        <w:fldChar w:fldCharType="separate"/>
      </w:r>
      <w:r>
        <w:rPr>
          <w:rFonts w:hint="eastAsia" w:ascii="仿宋" w:hAnsi="仿宋" w:eastAsia="仿宋" w:cs="仿宋"/>
          <w:color w:val="auto"/>
          <w:sz w:val="22"/>
          <w:szCs w:val="32"/>
          <w:highlight w:val="none"/>
        </w:rPr>
        <w:t>（一）总则</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_Toc17642 \h </w:instrText>
      </w:r>
      <w:r>
        <w:rPr>
          <w:color w:val="auto"/>
          <w:sz w:val="22"/>
          <w:szCs w:val="28"/>
          <w:highlight w:val="none"/>
        </w:rPr>
        <w:fldChar w:fldCharType="separate"/>
      </w:r>
      <w:r>
        <w:rPr>
          <w:color w:val="auto"/>
          <w:sz w:val="22"/>
          <w:szCs w:val="28"/>
          <w:highlight w:val="none"/>
        </w:rPr>
        <w:t>7</w:t>
      </w:r>
      <w:r>
        <w:rPr>
          <w:color w:val="auto"/>
          <w:sz w:val="22"/>
          <w:szCs w:val="28"/>
          <w:highlight w:val="none"/>
        </w:rPr>
        <w:fldChar w:fldCharType="end"/>
      </w:r>
      <w:r>
        <w:rPr>
          <w:color w:val="auto"/>
          <w:sz w:val="22"/>
          <w:szCs w:val="28"/>
          <w:highlight w:val="none"/>
        </w:rPr>
        <w:fldChar w:fldCharType="end"/>
      </w:r>
    </w:p>
    <w:p w14:paraId="5515F930">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"_Toc31378" </w:instrText>
      </w:r>
      <w:r>
        <w:rPr>
          <w:color w:val="auto"/>
          <w:highlight w:val="none"/>
        </w:rPr>
        <w:fldChar w:fldCharType="separate"/>
      </w:r>
      <w:r>
        <w:rPr>
          <w:rFonts w:hint="eastAsia" w:ascii="仿宋" w:hAnsi="仿宋" w:eastAsia="仿宋" w:cs="仿宋"/>
          <w:color w:val="auto"/>
          <w:sz w:val="22"/>
          <w:szCs w:val="32"/>
          <w:highlight w:val="none"/>
        </w:rPr>
        <w:t>（二）采购文件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_Toc31378 \h </w:instrText>
      </w:r>
      <w:r>
        <w:rPr>
          <w:color w:val="auto"/>
          <w:sz w:val="22"/>
          <w:szCs w:val="28"/>
          <w:highlight w:val="none"/>
        </w:rPr>
        <w:fldChar w:fldCharType="separate"/>
      </w:r>
      <w:r>
        <w:rPr>
          <w:color w:val="auto"/>
          <w:sz w:val="22"/>
          <w:szCs w:val="28"/>
          <w:highlight w:val="none"/>
        </w:rPr>
        <w:t>8</w:t>
      </w:r>
      <w:r>
        <w:rPr>
          <w:color w:val="auto"/>
          <w:sz w:val="22"/>
          <w:szCs w:val="28"/>
          <w:highlight w:val="none"/>
        </w:rPr>
        <w:fldChar w:fldCharType="end"/>
      </w:r>
      <w:r>
        <w:rPr>
          <w:color w:val="auto"/>
          <w:sz w:val="22"/>
          <w:szCs w:val="28"/>
          <w:highlight w:val="none"/>
        </w:rPr>
        <w:fldChar w:fldCharType="end"/>
      </w:r>
    </w:p>
    <w:p w14:paraId="470590B0">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"_Toc9551" </w:instrText>
      </w:r>
      <w:r>
        <w:rPr>
          <w:color w:val="auto"/>
          <w:highlight w:val="none"/>
        </w:rPr>
        <w:fldChar w:fldCharType="separate"/>
      </w:r>
      <w:r>
        <w:rPr>
          <w:rFonts w:hint="eastAsia" w:ascii="仿宋" w:hAnsi="仿宋" w:eastAsia="仿宋" w:cs="仿宋"/>
          <w:color w:val="auto"/>
          <w:sz w:val="22"/>
          <w:szCs w:val="32"/>
          <w:highlight w:val="none"/>
        </w:rPr>
        <w:t>（三）投标文件的编制</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_Toc9551 \h </w:instrText>
      </w:r>
      <w:r>
        <w:rPr>
          <w:color w:val="auto"/>
          <w:sz w:val="22"/>
          <w:szCs w:val="28"/>
          <w:highlight w:val="none"/>
        </w:rPr>
        <w:fldChar w:fldCharType="separate"/>
      </w:r>
      <w:r>
        <w:rPr>
          <w:color w:val="auto"/>
          <w:sz w:val="22"/>
          <w:szCs w:val="28"/>
          <w:highlight w:val="none"/>
        </w:rPr>
        <w:t>8</w:t>
      </w:r>
      <w:r>
        <w:rPr>
          <w:color w:val="auto"/>
          <w:sz w:val="22"/>
          <w:szCs w:val="28"/>
          <w:highlight w:val="none"/>
        </w:rPr>
        <w:fldChar w:fldCharType="end"/>
      </w:r>
      <w:r>
        <w:rPr>
          <w:color w:val="auto"/>
          <w:sz w:val="22"/>
          <w:szCs w:val="28"/>
          <w:highlight w:val="none"/>
        </w:rPr>
        <w:fldChar w:fldCharType="end"/>
      </w:r>
    </w:p>
    <w:p w14:paraId="3B8C7925">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"_Toc9319" </w:instrText>
      </w:r>
      <w:r>
        <w:rPr>
          <w:color w:val="auto"/>
          <w:highlight w:val="none"/>
        </w:rPr>
        <w:fldChar w:fldCharType="separate"/>
      </w:r>
      <w:r>
        <w:rPr>
          <w:rFonts w:hint="eastAsia" w:ascii="仿宋" w:hAnsi="仿宋" w:eastAsia="仿宋" w:cs="仿宋"/>
          <w:color w:val="auto"/>
          <w:sz w:val="22"/>
          <w:szCs w:val="32"/>
          <w:highlight w:val="none"/>
        </w:rPr>
        <w:t>（四）投标文件的递交</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_Toc9319 \h </w:instrText>
      </w:r>
      <w:r>
        <w:rPr>
          <w:color w:val="auto"/>
          <w:sz w:val="22"/>
          <w:szCs w:val="28"/>
          <w:highlight w:val="none"/>
        </w:rPr>
        <w:fldChar w:fldCharType="separate"/>
      </w:r>
      <w:r>
        <w:rPr>
          <w:color w:val="auto"/>
          <w:sz w:val="22"/>
          <w:szCs w:val="28"/>
          <w:highlight w:val="none"/>
        </w:rPr>
        <w:t>10</w:t>
      </w:r>
      <w:r>
        <w:rPr>
          <w:color w:val="auto"/>
          <w:sz w:val="22"/>
          <w:szCs w:val="28"/>
          <w:highlight w:val="none"/>
        </w:rPr>
        <w:fldChar w:fldCharType="end"/>
      </w:r>
      <w:r>
        <w:rPr>
          <w:color w:val="auto"/>
          <w:sz w:val="22"/>
          <w:szCs w:val="28"/>
          <w:highlight w:val="none"/>
        </w:rPr>
        <w:fldChar w:fldCharType="end"/>
      </w:r>
    </w:p>
    <w:p w14:paraId="171045AE">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"_Toc16868" </w:instrText>
      </w:r>
      <w:r>
        <w:rPr>
          <w:color w:val="auto"/>
          <w:highlight w:val="none"/>
        </w:rPr>
        <w:fldChar w:fldCharType="separate"/>
      </w:r>
      <w:r>
        <w:rPr>
          <w:rFonts w:hint="eastAsia" w:ascii="仿宋" w:hAnsi="仿宋" w:eastAsia="仿宋" w:cs="仿宋"/>
          <w:color w:val="auto"/>
          <w:sz w:val="22"/>
          <w:szCs w:val="32"/>
          <w:highlight w:val="none"/>
        </w:rPr>
        <w:t>（五）开标及评标</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_Toc16868 \h </w:instrText>
      </w:r>
      <w:r>
        <w:rPr>
          <w:color w:val="auto"/>
          <w:sz w:val="22"/>
          <w:szCs w:val="28"/>
          <w:highlight w:val="none"/>
        </w:rPr>
        <w:fldChar w:fldCharType="separate"/>
      </w:r>
      <w:r>
        <w:rPr>
          <w:color w:val="auto"/>
          <w:sz w:val="22"/>
          <w:szCs w:val="28"/>
          <w:highlight w:val="none"/>
        </w:rPr>
        <w:t>10</w:t>
      </w:r>
      <w:r>
        <w:rPr>
          <w:color w:val="auto"/>
          <w:sz w:val="22"/>
          <w:szCs w:val="28"/>
          <w:highlight w:val="none"/>
        </w:rPr>
        <w:fldChar w:fldCharType="end"/>
      </w:r>
      <w:r>
        <w:rPr>
          <w:color w:val="auto"/>
          <w:sz w:val="22"/>
          <w:szCs w:val="28"/>
          <w:highlight w:val="none"/>
        </w:rPr>
        <w:fldChar w:fldCharType="end"/>
      </w:r>
    </w:p>
    <w:p w14:paraId="664DD164">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"_Toc3856" </w:instrText>
      </w:r>
      <w:r>
        <w:rPr>
          <w:color w:val="auto"/>
          <w:highlight w:val="none"/>
        </w:rPr>
        <w:fldChar w:fldCharType="separate"/>
      </w:r>
      <w:r>
        <w:rPr>
          <w:rFonts w:hint="eastAsia" w:ascii="仿宋" w:hAnsi="仿宋" w:eastAsia="仿宋" w:cs="仿宋"/>
          <w:color w:val="auto"/>
          <w:sz w:val="22"/>
          <w:szCs w:val="32"/>
          <w:highlight w:val="none"/>
        </w:rPr>
        <w:t>（六）确定中标</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_Toc3856 \h </w:instrText>
      </w:r>
      <w:r>
        <w:rPr>
          <w:color w:val="auto"/>
          <w:sz w:val="22"/>
          <w:szCs w:val="28"/>
          <w:highlight w:val="none"/>
        </w:rPr>
        <w:fldChar w:fldCharType="separate"/>
      </w:r>
      <w:r>
        <w:rPr>
          <w:color w:val="auto"/>
          <w:sz w:val="22"/>
          <w:szCs w:val="28"/>
          <w:highlight w:val="none"/>
        </w:rPr>
        <w:t>1</w:t>
      </w:r>
      <w:r>
        <w:rPr>
          <w:rFonts w:hint="eastAsia"/>
          <w:color w:val="auto"/>
          <w:sz w:val="22"/>
          <w:szCs w:val="28"/>
          <w:highlight w:val="none"/>
        </w:rPr>
        <w:t>1</w:t>
      </w:r>
      <w:r>
        <w:rPr>
          <w:color w:val="auto"/>
          <w:sz w:val="22"/>
          <w:szCs w:val="28"/>
          <w:highlight w:val="none"/>
        </w:rPr>
        <w:fldChar w:fldCharType="end"/>
      </w:r>
      <w:r>
        <w:rPr>
          <w:color w:val="auto"/>
          <w:sz w:val="22"/>
          <w:szCs w:val="28"/>
          <w:highlight w:val="none"/>
        </w:rPr>
        <w:fldChar w:fldCharType="end"/>
      </w:r>
    </w:p>
    <w:p w14:paraId="5266D779">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"_Toc24852" </w:instrText>
      </w:r>
      <w:r>
        <w:rPr>
          <w:color w:val="auto"/>
          <w:highlight w:val="none"/>
        </w:rPr>
        <w:fldChar w:fldCharType="separate"/>
      </w:r>
      <w:r>
        <w:rPr>
          <w:rFonts w:hint="eastAsia" w:ascii="仿宋" w:hAnsi="仿宋" w:eastAsia="仿宋"/>
          <w:color w:val="auto"/>
          <w:sz w:val="22"/>
          <w:szCs w:val="36"/>
          <w:highlight w:val="none"/>
        </w:rPr>
        <w:t>第四章 项目说明和采购需求</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_Toc24852 \h </w:instrText>
      </w:r>
      <w:r>
        <w:rPr>
          <w:color w:val="auto"/>
          <w:sz w:val="22"/>
          <w:szCs w:val="28"/>
          <w:highlight w:val="none"/>
        </w:rPr>
        <w:fldChar w:fldCharType="separate"/>
      </w:r>
      <w:r>
        <w:rPr>
          <w:color w:val="auto"/>
          <w:sz w:val="22"/>
          <w:szCs w:val="28"/>
          <w:highlight w:val="none"/>
        </w:rPr>
        <w:t>1</w:t>
      </w:r>
      <w:r>
        <w:rPr>
          <w:rFonts w:hint="eastAsia"/>
          <w:color w:val="auto"/>
          <w:sz w:val="22"/>
          <w:szCs w:val="28"/>
          <w:highlight w:val="none"/>
        </w:rPr>
        <w:t>2</w:t>
      </w:r>
      <w:r>
        <w:rPr>
          <w:color w:val="auto"/>
          <w:sz w:val="22"/>
          <w:szCs w:val="28"/>
          <w:highlight w:val="none"/>
        </w:rPr>
        <w:fldChar w:fldCharType="end"/>
      </w:r>
      <w:r>
        <w:rPr>
          <w:color w:val="auto"/>
          <w:sz w:val="22"/>
          <w:szCs w:val="28"/>
          <w:highlight w:val="none"/>
        </w:rPr>
        <w:fldChar w:fldCharType="end"/>
      </w:r>
    </w:p>
    <w:p w14:paraId="4E65173F">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"_Toc13145" </w:instrText>
      </w:r>
      <w:r>
        <w:rPr>
          <w:color w:val="auto"/>
          <w:highlight w:val="none"/>
        </w:rPr>
        <w:fldChar w:fldCharType="separate"/>
      </w:r>
      <w:r>
        <w:rPr>
          <w:rFonts w:hint="eastAsia" w:ascii="仿宋" w:hAnsi="仿宋" w:eastAsia="仿宋"/>
          <w:color w:val="auto"/>
          <w:sz w:val="22"/>
          <w:szCs w:val="28"/>
          <w:highlight w:val="none"/>
        </w:rPr>
        <w:t>第五章 评审方法和标准</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_Toc13145 \h </w:instrText>
      </w:r>
      <w:r>
        <w:rPr>
          <w:color w:val="auto"/>
          <w:sz w:val="22"/>
          <w:szCs w:val="28"/>
          <w:highlight w:val="none"/>
        </w:rPr>
        <w:fldChar w:fldCharType="separate"/>
      </w:r>
      <w:r>
        <w:rPr>
          <w:color w:val="auto"/>
          <w:sz w:val="22"/>
          <w:szCs w:val="28"/>
          <w:highlight w:val="none"/>
        </w:rPr>
        <w:t>1</w:t>
      </w:r>
      <w:r>
        <w:rPr>
          <w:rFonts w:hint="eastAsia"/>
          <w:color w:val="auto"/>
          <w:sz w:val="22"/>
          <w:szCs w:val="28"/>
          <w:highlight w:val="none"/>
          <w:lang w:val="en-US" w:eastAsia="zh-CN"/>
        </w:rPr>
        <w:t>4</w:t>
      </w:r>
      <w:r>
        <w:rPr>
          <w:color w:val="auto"/>
          <w:sz w:val="22"/>
          <w:szCs w:val="28"/>
          <w:highlight w:val="none"/>
        </w:rPr>
        <w:fldChar w:fldCharType="end"/>
      </w:r>
      <w:r>
        <w:rPr>
          <w:color w:val="auto"/>
          <w:sz w:val="22"/>
          <w:szCs w:val="28"/>
          <w:highlight w:val="none"/>
        </w:rPr>
        <w:fldChar w:fldCharType="end"/>
      </w:r>
    </w:p>
    <w:p w14:paraId="1739A102">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"_Toc26749" </w:instrText>
      </w:r>
      <w:r>
        <w:rPr>
          <w:color w:val="auto"/>
          <w:highlight w:val="none"/>
        </w:rPr>
        <w:fldChar w:fldCharType="separate"/>
      </w:r>
      <w:r>
        <w:rPr>
          <w:rFonts w:hint="eastAsia" w:ascii="仿宋" w:hAnsi="仿宋" w:eastAsia="仿宋"/>
          <w:color w:val="auto"/>
          <w:sz w:val="22"/>
          <w:szCs w:val="28"/>
          <w:highlight w:val="none"/>
        </w:rPr>
        <w:t>第六章 投标文件格式</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_Toc26749 \h </w:instrText>
      </w:r>
      <w:r>
        <w:rPr>
          <w:color w:val="auto"/>
          <w:sz w:val="22"/>
          <w:szCs w:val="28"/>
          <w:highlight w:val="none"/>
        </w:rPr>
        <w:fldChar w:fldCharType="separate"/>
      </w:r>
      <w:r>
        <w:rPr>
          <w:color w:val="auto"/>
          <w:sz w:val="22"/>
          <w:szCs w:val="28"/>
          <w:highlight w:val="none"/>
        </w:rPr>
        <w:t>1</w:t>
      </w:r>
      <w:r>
        <w:rPr>
          <w:rFonts w:hint="eastAsia"/>
          <w:color w:val="auto"/>
          <w:sz w:val="22"/>
          <w:szCs w:val="28"/>
          <w:highlight w:val="none"/>
          <w:lang w:val="en-US" w:eastAsia="zh-CN"/>
        </w:rPr>
        <w:t>6</w:t>
      </w:r>
      <w:r>
        <w:rPr>
          <w:color w:val="auto"/>
          <w:sz w:val="22"/>
          <w:szCs w:val="28"/>
          <w:highlight w:val="none"/>
        </w:rPr>
        <w:fldChar w:fldCharType="end"/>
      </w:r>
      <w:r>
        <w:rPr>
          <w:color w:val="auto"/>
          <w:sz w:val="22"/>
          <w:szCs w:val="28"/>
          <w:highlight w:val="none"/>
        </w:rPr>
        <w:fldChar w:fldCharType="end"/>
      </w:r>
    </w:p>
    <w:p w14:paraId="18E28A64">
      <w:pPr>
        <w:pStyle w:val="18"/>
        <w:tabs>
          <w:tab w:val="right" w:leader="dot" w:pos="8640"/>
          <w:tab w:val="clear" w:pos="8296"/>
        </w:tabs>
        <w:spacing w:line="360" w:lineRule="auto"/>
        <w:rPr>
          <w:rFonts w:hint="eastAsia" w:eastAsia="宋体"/>
          <w:color w:val="auto"/>
          <w:sz w:val="22"/>
          <w:szCs w:val="28"/>
          <w:highlight w:val="none"/>
          <w:lang w:eastAsia="zh-CN"/>
        </w:rPr>
      </w:pPr>
      <w:r>
        <w:rPr>
          <w:color w:val="auto"/>
          <w:highlight w:val="none"/>
        </w:rPr>
        <w:fldChar w:fldCharType="begin"/>
      </w:r>
      <w:r>
        <w:rPr>
          <w:color w:val="auto"/>
          <w:highlight w:val="none"/>
        </w:rPr>
        <w:instrText xml:space="preserve"> HYPERLINK \l "_Toc4715" </w:instrText>
      </w:r>
      <w:r>
        <w:rPr>
          <w:color w:val="auto"/>
          <w:highlight w:val="none"/>
        </w:rPr>
        <w:fldChar w:fldCharType="separate"/>
      </w:r>
      <w:r>
        <w:rPr>
          <w:rFonts w:hint="eastAsia" w:ascii="仿宋" w:hAnsi="仿宋" w:eastAsia="仿宋" w:cs="仿宋"/>
          <w:color w:val="auto"/>
          <w:sz w:val="22"/>
          <w:szCs w:val="32"/>
          <w:highlight w:val="none"/>
        </w:rPr>
        <w:t>（一）投标函</w:t>
      </w:r>
      <w:r>
        <w:rPr>
          <w:color w:val="auto"/>
          <w:sz w:val="22"/>
          <w:szCs w:val="28"/>
          <w:highlight w:val="none"/>
        </w:rPr>
        <w:tab/>
      </w:r>
      <w:r>
        <w:rPr>
          <w:rFonts w:hint="eastAsia"/>
          <w:color w:val="auto"/>
          <w:sz w:val="22"/>
          <w:szCs w:val="28"/>
          <w:highlight w:val="none"/>
        </w:rPr>
        <w:t>1</w:t>
      </w:r>
      <w:r>
        <w:rPr>
          <w:rFonts w:hint="eastAsia"/>
          <w:color w:val="auto"/>
          <w:sz w:val="22"/>
          <w:szCs w:val="28"/>
          <w:highlight w:val="none"/>
        </w:rPr>
        <w:fldChar w:fldCharType="end"/>
      </w:r>
      <w:r>
        <w:rPr>
          <w:rFonts w:hint="eastAsia" w:ascii="仿宋" w:hAnsi="仿宋" w:eastAsia="仿宋" w:cs="仿宋"/>
          <w:color w:val="auto"/>
          <w:sz w:val="22"/>
          <w:szCs w:val="28"/>
          <w:highlight w:val="none"/>
          <w:lang w:val="en-US" w:eastAsia="zh-CN"/>
        </w:rPr>
        <w:t>7</w:t>
      </w:r>
    </w:p>
    <w:p w14:paraId="45E3EECD">
      <w:pPr>
        <w:pStyle w:val="18"/>
        <w:tabs>
          <w:tab w:val="right" w:leader="dot" w:pos="8640"/>
          <w:tab w:val="clear" w:pos="8296"/>
        </w:tabs>
        <w:spacing w:line="360" w:lineRule="auto"/>
        <w:rPr>
          <w:rFonts w:hint="eastAsia" w:eastAsia="宋体"/>
          <w:color w:val="auto"/>
          <w:sz w:val="22"/>
          <w:szCs w:val="28"/>
          <w:highlight w:val="none"/>
          <w:lang w:eastAsia="zh-CN"/>
        </w:rPr>
      </w:pPr>
      <w:r>
        <w:rPr>
          <w:color w:val="auto"/>
          <w:highlight w:val="none"/>
        </w:rPr>
        <w:fldChar w:fldCharType="begin"/>
      </w:r>
      <w:r>
        <w:rPr>
          <w:color w:val="auto"/>
          <w:highlight w:val="none"/>
        </w:rPr>
        <w:instrText xml:space="preserve"> HYPERLINK \l "_Toc4352" </w:instrText>
      </w:r>
      <w:r>
        <w:rPr>
          <w:color w:val="auto"/>
          <w:highlight w:val="none"/>
        </w:rPr>
        <w:fldChar w:fldCharType="separate"/>
      </w:r>
      <w:r>
        <w:rPr>
          <w:rFonts w:hint="eastAsia" w:ascii="仿宋" w:hAnsi="仿宋" w:eastAsia="仿宋" w:cs="仿宋"/>
          <w:color w:val="auto"/>
          <w:sz w:val="22"/>
          <w:szCs w:val="32"/>
          <w:highlight w:val="none"/>
        </w:rPr>
        <w:t>（二）开标一览表</w:t>
      </w:r>
      <w:r>
        <w:rPr>
          <w:color w:val="auto"/>
          <w:sz w:val="22"/>
          <w:szCs w:val="28"/>
          <w:highlight w:val="none"/>
        </w:rPr>
        <w:tab/>
      </w:r>
      <w:r>
        <w:rPr>
          <w:rFonts w:hint="eastAsia"/>
          <w:color w:val="auto"/>
          <w:sz w:val="22"/>
          <w:szCs w:val="28"/>
          <w:highlight w:val="none"/>
        </w:rPr>
        <w:t>1</w:t>
      </w:r>
      <w:r>
        <w:rPr>
          <w:rFonts w:hint="eastAsia"/>
          <w:color w:val="auto"/>
          <w:sz w:val="22"/>
          <w:szCs w:val="28"/>
          <w:highlight w:val="none"/>
        </w:rPr>
        <w:fldChar w:fldCharType="end"/>
      </w:r>
      <w:r>
        <w:rPr>
          <w:rFonts w:hint="eastAsia" w:ascii="仿宋" w:hAnsi="仿宋" w:eastAsia="仿宋" w:cs="仿宋"/>
          <w:color w:val="auto"/>
          <w:sz w:val="22"/>
          <w:szCs w:val="28"/>
          <w:highlight w:val="none"/>
          <w:lang w:val="en-US" w:eastAsia="zh-CN"/>
        </w:rPr>
        <w:t>8</w:t>
      </w:r>
    </w:p>
    <w:p w14:paraId="544D0B75">
      <w:pPr>
        <w:pStyle w:val="18"/>
        <w:tabs>
          <w:tab w:val="right" w:leader="dot" w:pos="8640"/>
          <w:tab w:val="clear" w:pos="8296"/>
        </w:tabs>
        <w:spacing w:line="360" w:lineRule="auto"/>
        <w:rPr>
          <w:rFonts w:hint="eastAsia" w:eastAsia="宋体"/>
          <w:color w:val="auto"/>
          <w:sz w:val="22"/>
          <w:szCs w:val="28"/>
          <w:highlight w:val="none"/>
          <w:lang w:eastAsia="zh-CN"/>
        </w:rPr>
      </w:pPr>
      <w:r>
        <w:rPr>
          <w:color w:val="auto"/>
          <w:highlight w:val="none"/>
        </w:rPr>
        <w:fldChar w:fldCharType="begin"/>
      </w:r>
      <w:r>
        <w:rPr>
          <w:color w:val="auto"/>
          <w:highlight w:val="none"/>
        </w:rPr>
        <w:instrText xml:space="preserve"> HYPERLINK \l "_Toc7419" </w:instrText>
      </w:r>
      <w:r>
        <w:rPr>
          <w:color w:val="auto"/>
          <w:highlight w:val="none"/>
        </w:rPr>
        <w:fldChar w:fldCharType="separate"/>
      </w:r>
      <w:r>
        <w:rPr>
          <w:rFonts w:hint="eastAsia" w:ascii="仿宋" w:hAnsi="仿宋" w:eastAsia="仿宋" w:cs="仿宋"/>
          <w:color w:val="auto"/>
          <w:sz w:val="22"/>
          <w:szCs w:val="32"/>
          <w:highlight w:val="none"/>
        </w:rPr>
        <w:t>（三）法定代表人身份证明</w:t>
      </w:r>
      <w:r>
        <w:rPr>
          <w:color w:val="auto"/>
          <w:sz w:val="22"/>
          <w:szCs w:val="28"/>
          <w:highlight w:val="none"/>
        </w:rPr>
        <w:tab/>
      </w:r>
      <w:r>
        <w:rPr>
          <w:rFonts w:hint="eastAsia"/>
          <w:color w:val="auto"/>
          <w:sz w:val="22"/>
          <w:szCs w:val="28"/>
          <w:highlight w:val="none"/>
          <w:lang w:val="en-US" w:eastAsia="zh-CN"/>
        </w:rPr>
        <w:t>1</w:t>
      </w:r>
      <w:r>
        <w:rPr>
          <w:rFonts w:hint="eastAsia"/>
          <w:color w:val="auto"/>
          <w:sz w:val="22"/>
          <w:szCs w:val="28"/>
          <w:highlight w:val="none"/>
        </w:rPr>
        <w:fldChar w:fldCharType="end"/>
      </w:r>
      <w:r>
        <w:rPr>
          <w:rFonts w:hint="eastAsia" w:ascii="仿宋" w:hAnsi="仿宋" w:eastAsia="仿宋" w:cs="仿宋"/>
          <w:color w:val="auto"/>
          <w:sz w:val="22"/>
          <w:szCs w:val="28"/>
          <w:highlight w:val="none"/>
          <w:lang w:val="en-US" w:eastAsia="zh-CN"/>
        </w:rPr>
        <w:t>9</w:t>
      </w:r>
    </w:p>
    <w:p w14:paraId="2ABD714E">
      <w:pPr>
        <w:pStyle w:val="18"/>
        <w:tabs>
          <w:tab w:val="right" w:leader="dot" w:pos="8640"/>
          <w:tab w:val="clear" w:pos="8296"/>
        </w:tabs>
        <w:spacing w:line="360" w:lineRule="auto"/>
        <w:rPr>
          <w:color w:val="auto"/>
          <w:sz w:val="22"/>
          <w:szCs w:val="28"/>
          <w:highlight w:val="none"/>
        </w:rPr>
      </w:pPr>
      <w:r>
        <w:rPr>
          <w:color w:val="auto"/>
          <w:highlight w:val="none"/>
        </w:rPr>
        <w:fldChar w:fldCharType="begin"/>
      </w:r>
      <w:r>
        <w:rPr>
          <w:color w:val="auto"/>
          <w:highlight w:val="none"/>
        </w:rPr>
        <w:instrText xml:space="preserve"> HYPERLINK \l "_Toc8336" </w:instrText>
      </w:r>
      <w:r>
        <w:rPr>
          <w:color w:val="auto"/>
          <w:highlight w:val="none"/>
        </w:rPr>
        <w:fldChar w:fldCharType="separate"/>
      </w:r>
      <w:r>
        <w:rPr>
          <w:rFonts w:hint="eastAsia" w:ascii="仿宋" w:hAnsi="仿宋" w:eastAsia="仿宋" w:cs="仿宋"/>
          <w:color w:val="auto"/>
          <w:sz w:val="22"/>
          <w:szCs w:val="32"/>
          <w:highlight w:val="none"/>
        </w:rPr>
        <w:t>（四）技术规格偏离表</w:t>
      </w:r>
      <w:r>
        <w:rPr>
          <w:color w:val="auto"/>
          <w:sz w:val="22"/>
          <w:szCs w:val="28"/>
          <w:highlight w:val="none"/>
        </w:rPr>
        <w:tab/>
      </w:r>
      <w:r>
        <w:rPr>
          <w:color w:val="auto"/>
          <w:sz w:val="22"/>
          <w:szCs w:val="28"/>
          <w:highlight w:val="none"/>
        </w:rPr>
        <w:fldChar w:fldCharType="begin"/>
      </w:r>
      <w:r>
        <w:rPr>
          <w:color w:val="auto"/>
          <w:sz w:val="22"/>
          <w:szCs w:val="28"/>
          <w:highlight w:val="none"/>
        </w:rPr>
        <w:instrText xml:space="preserve"> PAGEREF _Toc8336 \h </w:instrText>
      </w:r>
      <w:r>
        <w:rPr>
          <w:color w:val="auto"/>
          <w:sz w:val="22"/>
          <w:szCs w:val="28"/>
          <w:highlight w:val="none"/>
        </w:rPr>
        <w:fldChar w:fldCharType="separate"/>
      </w:r>
      <w:r>
        <w:rPr>
          <w:color w:val="auto"/>
          <w:sz w:val="22"/>
          <w:szCs w:val="28"/>
          <w:highlight w:val="none"/>
        </w:rPr>
        <w:t>2</w:t>
      </w:r>
      <w:r>
        <w:rPr>
          <w:rFonts w:hint="eastAsia"/>
          <w:color w:val="auto"/>
          <w:sz w:val="22"/>
          <w:szCs w:val="28"/>
          <w:highlight w:val="none"/>
          <w:lang w:val="en-US" w:eastAsia="zh-CN"/>
        </w:rPr>
        <w:t>2</w:t>
      </w:r>
      <w:r>
        <w:rPr>
          <w:color w:val="auto"/>
          <w:sz w:val="22"/>
          <w:szCs w:val="28"/>
          <w:highlight w:val="none"/>
        </w:rPr>
        <w:fldChar w:fldCharType="end"/>
      </w:r>
      <w:r>
        <w:rPr>
          <w:color w:val="auto"/>
          <w:sz w:val="22"/>
          <w:szCs w:val="28"/>
          <w:highlight w:val="none"/>
        </w:rPr>
        <w:fldChar w:fldCharType="end"/>
      </w:r>
    </w:p>
    <w:p w14:paraId="40B08318">
      <w:pPr>
        <w:pStyle w:val="18"/>
        <w:tabs>
          <w:tab w:val="right" w:leader="dot" w:pos="8640"/>
          <w:tab w:val="clear" w:pos="8296"/>
        </w:tabs>
        <w:spacing w:line="360" w:lineRule="auto"/>
        <w:rPr>
          <w:rFonts w:hint="eastAsia" w:eastAsia="宋体"/>
          <w:color w:val="auto"/>
          <w:sz w:val="22"/>
          <w:szCs w:val="28"/>
          <w:highlight w:val="none"/>
          <w:lang w:eastAsia="zh-CN"/>
        </w:rPr>
      </w:pPr>
      <w:r>
        <w:rPr>
          <w:color w:val="auto"/>
          <w:highlight w:val="none"/>
        </w:rPr>
        <w:fldChar w:fldCharType="begin"/>
      </w:r>
      <w:r>
        <w:rPr>
          <w:color w:val="auto"/>
          <w:highlight w:val="none"/>
        </w:rPr>
        <w:instrText xml:space="preserve"> HYPERLINK \l "_Toc15556" </w:instrText>
      </w:r>
      <w:r>
        <w:rPr>
          <w:color w:val="auto"/>
          <w:highlight w:val="none"/>
        </w:rPr>
        <w:fldChar w:fldCharType="separate"/>
      </w:r>
      <w:r>
        <w:rPr>
          <w:rFonts w:hint="eastAsia" w:ascii="仿宋" w:hAnsi="仿宋" w:eastAsia="仿宋" w:cs="仿宋"/>
          <w:color w:val="auto"/>
          <w:sz w:val="22"/>
          <w:szCs w:val="32"/>
          <w:highlight w:val="none"/>
        </w:rPr>
        <w:t>（五）招标文件中要求的其他证明材料</w:t>
      </w:r>
      <w:r>
        <w:rPr>
          <w:color w:val="auto"/>
          <w:sz w:val="22"/>
          <w:szCs w:val="28"/>
          <w:highlight w:val="none"/>
        </w:rPr>
        <w:tab/>
      </w:r>
      <w:r>
        <w:rPr>
          <w:rFonts w:hint="eastAsia"/>
          <w:color w:val="auto"/>
          <w:sz w:val="22"/>
          <w:szCs w:val="28"/>
          <w:highlight w:val="none"/>
        </w:rPr>
        <w:t>2</w:t>
      </w:r>
      <w:r>
        <w:rPr>
          <w:rFonts w:hint="eastAsia"/>
          <w:color w:val="auto"/>
          <w:sz w:val="22"/>
          <w:szCs w:val="28"/>
          <w:highlight w:val="none"/>
        </w:rPr>
        <w:fldChar w:fldCharType="end"/>
      </w:r>
      <w:r>
        <w:rPr>
          <w:rFonts w:hint="eastAsia" w:ascii="仿宋" w:hAnsi="仿宋" w:eastAsia="仿宋" w:cs="仿宋"/>
          <w:color w:val="auto"/>
          <w:sz w:val="22"/>
          <w:szCs w:val="28"/>
          <w:highlight w:val="none"/>
          <w:lang w:val="en-US" w:eastAsia="zh-CN"/>
        </w:rPr>
        <w:t>3</w:t>
      </w:r>
    </w:p>
    <w:p w14:paraId="4EA20DAE">
      <w:pPr>
        <w:spacing w:line="360" w:lineRule="auto"/>
        <w:rPr>
          <w:rFonts w:ascii="仿宋" w:hAnsi="仿宋" w:eastAsia="仿宋" w:cs="仿宋"/>
          <w:color w:val="auto"/>
          <w:sz w:val="28"/>
          <w:szCs w:val="28"/>
          <w:highlight w:val="none"/>
        </w:rPr>
      </w:pPr>
      <w:r>
        <w:rPr>
          <w:rFonts w:hint="eastAsia" w:ascii="仿宋" w:hAnsi="仿宋" w:eastAsia="仿宋" w:cs="仿宋"/>
          <w:color w:val="auto"/>
          <w:sz w:val="22"/>
          <w:szCs w:val="28"/>
          <w:highlight w:val="none"/>
        </w:rPr>
        <w:fldChar w:fldCharType="end"/>
      </w:r>
    </w:p>
    <w:p w14:paraId="39F39D82">
      <w:pPr>
        <w:spacing w:line="360" w:lineRule="auto"/>
        <w:rPr>
          <w:rFonts w:ascii="仿宋" w:hAnsi="仿宋" w:eastAsia="仿宋" w:cs="仿宋"/>
          <w:b/>
          <w:bCs/>
          <w:color w:val="auto"/>
          <w:sz w:val="28"/>
          <w:szCs w:val="28"/>
          <w:highlight w:val="none"/>
        </w:rPr>
      </w:pPr>
    </w:p>
    <w:p w14:paraId="51EE6123">
      <w:pPr>
        <w:pStyle w:val="5"/>
        <w:jc w:val="center"/>
        <w:rPr>
          <w:rFonts w:ascii="仿宋" w:hAnsi="仿宋" w:eastAsia="仿宋"/>
          <w:color w:val="auto"/>
          <w:highlight w:val="none"/>
        </w:rPr>
      </w:pPr>
    </w:p>
    <w:p w14:paraId="41115E8C">
      <w:pPr>
        <w:rPr>
          <w:rFonts w:ascii="仿宋" w:hAnsi="仿宋" w:eastAsia="仿宋"/>
          <w:color w:val="auto"/>
          <w:highlight w:val="none"/>
        </w:rPr>
      </w:pPr>
      <w:r>
        <w:rPr>
          <w:rFonts w:hint="eastAsia" w:ascii="仿宋" w:hAnsi="仿宋" w:eastAsia="仿宋"/>
          <w:color w:val="auto"/>
          <w:highlight w:val="none"/>
        </w:rPr>
        <w:br w:type="page"/>
      </w:r>
    </w:p>
    <w:p w14:paraId="5264EABD">
      <w:pPr>
        <w:pStyle w:val="5"/>
        <w:jc w:val="center"/>
        <w:rPr>
          <w:rFonts w:ascii="仿宋" w:hAnsi="仿宋" w:eastAsia="仿宋"/>
          <w:color w:val="auto"/>
          <w:highlight w:val="none"/>
        </w:rPr>
      </w:pPr>
      <w:bookmarkStart w:id="0" w:name="_Toc5664"/>
      <w:r>
        <w:rPr>
          <w:rFonts w:hint="eastAsia" w:ascii="仿宋" w:hAnsi="仿宋" w:eastAsia="仿宋"/>
          <w:color w:val="auto"/>
          <w:highlight w:val="none"/>
        </w:rPr>
        <w:t xml:space="preserve">第一章 </w:t>
      </w:r>
      <w:bookmarkEnd w:id="0"/>
      <w:r>
        <w:rPr>
          <w:rFonts w:hint="eastAsia" w:ascii="仿宋" w:hAnsi="仿宋" w:eastAsia="仿宋"/>
          <w:color w:val="auto"/>
          <w:highlight w:val="none"/>
        </w:rPr>
        <w:t>投标邀请</w:t>
      </w:r>
    </w:p>
    <w:p w14:paraId="048E3240">
      <w:pPr>
        <w:spacing w:line="360" w:lineRule="auto"/>
        <w:jc w:val="center"/>
        <w:rPr>
          <w:rFonts w:ascii="仿宋" w:hAnsi="仿宋" w:eastAsia="仿宋" w:cs="仿宋"/>
          <w:b/>
          <w:color w:val="auto"/>
          <w:spacing w:val="-10"/>
          <w:kern w:val="36"/>
          <w:sz w:val="28"/>
          <w:szCs w:val="28"/>
          <w:highlight w:val="none"/>
        </w:rPr>
      </w:pPr>
      <w:bookmarkStart w:id="1" w:name="OLE_LINK25"/>
      <w:r>
        <w:rPr>
          <w:rFonts w:hint="eastAsia" w:ascii="仿宋" w:hAnsi="仿宋" w:eastAsia="仿宋" w:cs="仿宋"/>
          <w:b/>
          <w:color w:val="auto"/>
          <w:spacing w:val="-10"/>
          <w:kern w:val="36"/>
          <w:sz w:val="28"/>
          <w:szCs w:val="28"/>
          <w:highlight w:val="none"/>
        </w:rPr>
        <w:t>宁夏医科大学内部控制风险评估项目</w:t>
      </w:r>
      <w:bookmarkStart w:id="2" w:name="OLE_LINK3"/>
      <w:r>
        <w:rPr>
          <w:rFonts w:hint="eastAsia" w:ascii="仿宋" w:hAnsi="仿宋" w:eastAsia="仿宋" w:cs="仿宋"/>
          <w:b/>
          <w:color w:val="auto"/>
          <w:spacing w:val="-10"/>
          <w:kern w:val="36"/>
          <w:sz w:val="28"/>
          <w:szCs w:val="28"/>
          <w:highlight w:val="none"/>
        </w:rPr>
        <w:t>招标公告</w:t>
      </w:r>
      <w:bookmarkEnd w:id="2"/>
    </w:p>
    <w:p w14:paraId="5E2A6FB4">
      <w:pPr>
        <w:pStyle w:val="153"/>
        <w:spacing w:line="360" w:lineRule="auto"/>
        <w:ind w:firstLine="0" w:firstLineChars="0"/>
        <w:rPr>
          <w:rFonts w:ascii="仿宋" w:hAnsi="仿宋" w:eastAsia="仿宋" w:cs="仿宋"/>
          <w:b/>
          <w:color w:val="auto"/>
          <w:sz w:val="24"/>
          <w:highlight w:val="none"/>
        </w:rPr>
      </w:pPr>
    </w:p>
    <w:p w14:paraId="1D0C3DE9">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一、基本情况</w:t>
      </w:r>
    </w:p>
    <w:p w14:paraId="79AFCE3C">
      <w:pPr>
        <w:pStyle w:val="2"/>
        <w:adjustRightInd w:val="0"/>
        <w:snapToGrid w:val="0"/>
        <w:spacing w:after="0" w:line="600" w:lineRule="exact"/>
        <w:ind w:left="0" w:leftChars="0" w:firstLine="562"/>
        <w:rPr>
          <w:rFonts w:ascii="仿宋_GB2312" w:hAnsi="仿宋_GB2312" w:cs="仿宋_GB2312"/>
          <w:bCs/>
          <w:color w:val="auto"/>
          <w:sz w:val="28"/>
          <w:szCs w:val="28"/>
          <w:highlight w:val="none"/>
        </w:rPr>
      </w:pPr>
      <w:r>
        <w:rPr>
          <w:rFonts w:hint="eastAsia" w:ascii="仿宋_GB2312" w:hAnsi="仿宋_GB2312" w:cs="仿宋_GB2312"/>
          <w:b/>
          <w:color w:val="auto"/>
          <w:sz w:val="28"/>
          <w:szCs w:val="28"/>
          <w:highlight w:val="none"/>
        </w:rPr>
        <w:t>项目名称：宁夏医科大学内部控制风险评估项目</w:t>
      </w:r>
    </w:p>
    <w:p w14:paraId="6887D5A5">
      <w:pPr>
        <w:adjustRightInd w:val="0"/>
        <w:snapToGrid w:val="0"/>
        <w:spacing w:line="600" w:lineRule="exact"/>
        <w:ind w:firstLine="562"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
          <w:color w:val="auto"/>
          <w:sz w:val="28"/>
          <w:szCs w:val="28"/>
          <w:highlight w:val="none"/>
        </w:rPr>
        <w:t>采购方式：公开招标</w:t>
      </w:r>
    </w:p>
    <w:p w14:paraId="3E1C12E7">
      <w:pPr>
        <w:adjustRightInd w:val="0"/>
        <w:snapToGrid w:val="0"/>
        <w:spacing w:line="600" w:lineRule="exact"/>
        <w:ind w:firstLine="562"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
          <w:color w:val="auto"/>
          <w:sz w:val="28"/>
          <w:szCs w:val="28"/>
          <w:highlight w:val="none"/>
        </w:rPr>
        <w:t>预算金额：13万元</w:t>
      </w:r>
    </w:p>
    <w:p w14:paraId="560DFA57">
      <w:pPr>
        <w:adjustRightInd w:val="0"/>
        <w:snapToGrid w:val="0"/>
        <w:spacing w:line="600" w:lineRule="exact"/>
        <w:ind w:firstLine="562"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
          <w:color w:val="auto"/>
          <w:sz w:val="28"/>
          <w:szCs w:val="28"/>
          <w:highlight w:val="none"/>
        </w:rPr>
        <w:t>采购需求：内部控制风险评估。详见招标文件。</w:t>
      </w:r>
    </w:p>
    <w:p w14:paraId="7149ADF3">
      <w:pPr>
        <w:adjustRightInd w:val="0"/>
        <w:snapToGrid w:val="0"/>
        <w:spacing w:line="600" w:lineRule="exact"/>
        <w:ind w:firstLine="562" w:firstLineChars="200"/>
        <w:rPr>
          <w:rFonts w:ascii="仿宋_GB2312" w:hAnsi="仿宋_GB2312" w:eastAsia="仿宋_GB2312" w:cs="仿宋_GB2312"/>
          <w:bCs/>
          <w:color w:val="auto"/>
          <w:sz w:val="28"/>
          <w:szCs w:val="28"/>
          <w:highlight w:val="none"/>
        </w:rPr>
      </w:pPr>
      <w:bookmarkStart w:id="3" w:name="OLE_LINK17"/>
      <w:r>
        <w:rPr>
          <w:rFonts w:hint="eastAsia" w:ascii="仿宋_GB2312" w:hAnsi="仿宋_GB2312" w:eastAsia="仿宋_GB2312" w:cs="仿宋_GB2312"/>
          <w:b/>
          <w:color w:val="auto"/>
          <w:sz w:val="28"/>
          <w:szCs w:val="28"/>
          <w:highlight w:val="none"/>
        </w:rPr>
        <w:t>合同履行期限</w:t>
      </w:r>
      <w:bookmarkEnd w:id="3"/>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90</w:t>
      </w:r>
      <w:r>
        <w:rPr>
          <w:rFonts w:hint="eastAsia" w:ascii="仿宋_GB2312" w:hAnsi="仿宋_GB2312" w:eastAsia="仿宋_GB2312" w:cs="仿宋_GB2312"/>
          <w:b/>
          <w:color w:val="auto"/>
          <w:sz w:val="28"/>
          <w:szCs w:val="28"/>
          <w:highlight w:val="none"/>
        </w:rPr>
        <w:t>天</w:t>
      </w:r>
    </w:p>
    <w:p w14:paraId="32A33505">
      <w:pPr>
        <w:adjustRightInd w:val="0"/>
        <w:snapToGrid w:val="0"/>
        <w:spacing w:line="600" w:lineRule="exact"/>
        <w:ind w:firstLine="562" w:firstLineChars="200"/>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本项目（是/否）接受联合体投标：否</w:t>
      </w:r>
    </w:p>
    <w:p w14:paraId="3A35D077">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二、申请人的资格要求</w:t>
      </w:r>
    </w:p>
    <w:p w14:paraId="3D8B424B">
      <w:pPr>
        <w:pStyle w:val="19"/>
        <w:adjustRightInd w:val="0"/>
        <w:snapToGrid w:val="0"/>
        <w:spacing w:beforeAutospacing="0" w:afterAutospacing="0" w:line="600" w:lineRule="exact"/>
        <w:ind w:left="1" w:firstLine="560" w:firstLineChars="200"/>
        <w:jc w:val="both"/>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（1）投标人营业执照(或事业单位法人证书，或社会团体法人登记证书)，如投标人为自然人的需提供自然人身份证明；</w:t>
      </w:r>
    </w:p>
    <w:p w14:paraId="227B01A7">
      <w:pPr>
        <w:pStyle w:val="19"/>
        <w:adjustRightInd w:val="0"/>
        <w:snapToGrid w:val="0"/>
        <w:spacing w:beforeAutospacing="0" w:afterAutospacing="0" w:line="600" w:lineRule="exact"/>
        <w:ind w:left="1" w:firstLine="560" w:firstLineChars="200"/>
        <w:jc w:val="both"/>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（2）法定代表人授权书原件及被授权人身份证复印件（法定代表人直接投标可不提供，但须提供法定代表人身份证明）；</w:t>
      </w:r>
    </w:p>
    <w:p w14:paraId="63FB254E">
      <w:pPr>
        <w:pStyle w:val="19"/>
        <w:adjustRightInd w:val="0"/>
        <w:snapToGrid w:val="0"/>
        <w:spacing w:beforeAutospacing="0" w:afterAutospacing="0" w:line="600" w:lineRule="exact"/>
        <w:ind w:left="1" w:firstLine="560" w:firstLineChars="200"/>
        <w:jc w:val="both"/>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投标人在中国政府采购网站（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w:t>
      </w:r>
    </w:p>
    <w:p w14:paraId="34D2FFAC">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lang w:eastAsia="zh-CN"/>
        </w:rPr>
        <w:t>三、</w:t>
      </w:r>
      <w:r>
        <w:rPr>
          <w:rFonts w:hint="eastAsia" w:ascii="黑体" w:hAnsi="黑体" w:eastAsia="黑体" w:cs="黑体"/>
          <w:b/>
          <w:color w:val="auto"/>
          <w:sz w:val="28"/>
          <w:szCs w:val="28"/>
          <w:highlight w:val="none"/>
        </w:rPr>
        <w:t>获取招标文件</w:t>
      </w:r>
    </w:p>
    <w:p w14:paraId="1DA73743">
      <w:pPr>
        <w:adjustRightInd w:val="0"/>
        <w:snapToGrid w:val="0"/>
        <w:spacing w:line="60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时间：2026年</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日至2026年</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日，网上下载。</w:t>
      </w:r>
    </w:p>
    <w:p w14:paraId="32FFCDA6">
      <w:pPr>
        <w:adjustRightInd w:val="0"/>
        <w:snapToGrid w:val="0"/>
        <w:spacing w:line="60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地点：招标书采用网上获取方式。在宁夏医科大学官网“机构设置”栏选择财务处，进入财务处网页“通知通告”栏下载获取资料。</w:t>
      </w:r>
    </w:p>
    <w:p w14:paraId="1A8117A6">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四、投标文件提交</w:t>
      </w:r>
    </w:p>
    <w:p w14:paraId="6574F393">
      <w:pPr>
        <w:adjustRightInd w:val="0"/>
        <w:snapToGrid w:val="0"/>
        <w:spacing w:line="600" w:lineRule="exact"/>
        <w:ind w:firstLine="562"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截止时间：</w:t>
      </w:r>
      <w:r>
        <w:rPr>
          <w:rFonts w:hint="eastAsia" w:ascii="仿宋_GB2312" w:hAnsi="仿宋_GB2312" w:eastAsia="仿宋_GB2312" w:cs="仿宋_GB2312"/>
          <w:color w:val="auto"/>
          <w:sz w:val="28"/>
          <w:szCs w:val="28"/>
          <w:highlight w:val="none"/>
        </w:rPr>
        <w:t>2026年</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日上午</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00（北京时间）</w:t>
      </w:r>
    </w:p>
    <w:p w14:paraId="52B1380D">
      <w:pPr>
        <w:adjustRightInd w:val="0"/>
        <w:snapToGrid w:val="0"/>
        <w:spacing w:line="600" w:lineRule="exact"/>
        <w:ind w:firstLine="562"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
          <w:color w:val="auto"/>
          <w:sz w:val="28"/>
          <w:szCs w:val="28"/>
          <w:highlight w:val="none"/>
        </w:rPr>
        <w:t>地点：</w:t>
      </w:r>
      <w:bookmarkStart w:id="4" w:name="OLE_LINK1"/>
      <w:r>
        <w:rPr>
          <w:rFonts w:hint="eastAsia" w:ascii="仿宋_GB2312" w:hAnsi="仿宋_GB2312" w:eastAsia="仿宋_GB2312" w:cs="仿宋_GB2312"/>
          <w:bCs/>
          <w:color w:val="auto"/>
          <w:sz w:val="28"/>
          <w:szCs w:val="28"/>
          <w:highlight w:val="none"/>
        </w:rPr>
        <w:t>宁夏医科大学雁湖校区正德楼二楼北侧219室</w:t>
      </w:r>
    </w:p>
    <w:bookmarkEnd w:id="4"/>
    <w:p w14:paraId="73C028E8">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五、开标时间及地点</w:t>
      </w:r>
    </w:p>
    <w:p w14:paraId="2DEE327C">
      <w:pPr>
        <w:adjustRightInd w:val="0"/>
        <w:snapToGrid w:val="0"/>
        <w:spacing w:line="600" w:lineRule="exact"/>
        <w:ind w:firstLine="562"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
          <w:bCs/>
          <w:color w:val="auto"/>
          <w:sz w:val="28"/>
          <w:szCs w:val="28"/>
          <w:highlight w:val="none"/>
        </w:rPr>
        <w:t>时间：</w:t>
      </w:r>
      <w:bookmarkStart w:id="5" w:name="OLE_LINK16"/>
      <w:r>
        <w:rPr>
          <w:rFonts w:hint="eastAsia" w:ascii="仿宋_GB2312" w:hAnsi="仿宋_GB2312" w:eastAsia="仿宋_GB2312" w:cs="仿宋_GB2312"/>
          <w:color w:val="auto"/>
          <w:sz w:val="28"/>
          <w:szCs w:val="28"/>
          <w:highlight w:val="none"/>
        </w:rPr>
        <w:t>2026年</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eastAsia="zh-CN"/>
        </w:rPr>
        <w:t>上午</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bCs/>
          <w:color w:val="auto"/>
          <w:sz w:val="28"/>
          <w:szCs w:val="28"/>
          <w:highlight w:val="none"/>
        </w:rPr>
        <w:t>00</w:t>
      </w:r>
      <w:bookmarkEnd w:id="5"/>
      <w:r>
        <w:rPr>
          <w:rFonts w:hint="eastAsia" w:ascii="仿宋_GB2312" w:hAnsi="仿宋_GB2312" w:eastAsia="仿宋_GB2312" w:cs="仿宋_GB2312"/>
          <w:color w:val="auto"/>
          <w:sz w:val="28"/>
          <w:szCs w:val="28"/>
          <w:highlight w:val="none"/>
        </w:rPr>
        <w:t>（北京时间）</w:t>
      </w:r>
    </w:p>
    <w:p w14:paraId="26138F99">
      <w:pPr>
        <w:adjustRightInd w:val="0"/>
        <w:snapToGrid w:val="0"/>
        <w:spacing w:line="600" w:lineRule="exact"/>
        <w:ind w:firstLine="562"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地点：</w:t>
      </w:r>
      <w:r>
        <w:rPr>
          <w:rFonts w:hint="eastAsia" w:ascii="仿宋_GB2312" w:hAnsi="仿宋_GB2312" w:eastAsia="仿宋_GB2312" w:cs="仿宋_GB2312"/>
          <w:color w:val="auto"/>
          <w:sz w:val="28"/>
          <w:szCs w:val="28"/>
          <w:highlight w:val="none"/>
        </w:rPr>
        <w:t>宁夏医科大学雁湖校区正德楼二楼北侧221室</w:t>
      </w:r>
    </w:p>
    <w:p w14:paraId="57789E2C">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六、公告期限</w:t>
      </w:r>
    </w:p>
    <w:p w14:paraId="4958E3A9">
      <w:pPr>
        <w:pStyle w:val="2"/>
        <w:adjustRightInd w:val="0"/>
        <w:snapToGrid w:val="0"/>
        <w:spacing w:line="600" w:lineRule="exact"/>
        <w:ind w:left="0" w:leftChars="0" w:firstLine="560" w:firstLineChars="0"/>
        <w:rPr>
          <w:rFonts w:ascii="仿宋_GB2312" w:hAnsi="仿宋_GB2312" w:cs="仿宋_GB2312"/>
          <w:color w:val="auto"/>
          <w:sz w:val="28"/>
          <w:szCs w:val="28"/>
          <w:highlight w:val="none"/>
        </w:rPr>
      </w:pPr>
      <w:r>
        <w:rPr>
          <w:rFonts w:hint="eastAsia" w:ascii="仿宋_GB2312" w:hAnsi="仿宋_GB2312" w:cs="仿宋_GB2312"/>
          <w:color w:val="auto"/>
          <w:sz w:val="28"/>
          <w:szCs w:val="28"/>
          <w:highlight w:val="none"/>
        </w:rPr>
        <w:t>自本公告发布之日起3个工作日。</w:t>
      </w:r>
    </w:p>
    <w:p w14:paraId="7222B6E3">
      <w:pPr>
        <w:pStyle w:val="153"/>
        <w:adjustRightInd w:val="0"/>
        <w:snapToGrid w:val="0"/>
        <w:spacing w:line="600" w:lineRule="exact"/>
        <w:ind w:firstLine="562" w:firstLineChars="2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七、联系方式</w:t>
      </w:r>
    </w:p>
    <w:bookmarkEnd w:id="1"/>
    <w:p w14:paraId="38CF2344">
      <w:pPr>
        <w:adjustRightInd w:val="0"/>
        <w:snapToGrid w:val="0"/>
        <w:spacing w:line="60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对本次招标提出询问，请按以下方式联系</w:t>
      </w:r>
    </w:p>
    <w:p w14:paraId="7D88CAD4">
      <w:pPr>
        <w:adjustRightInd w:val="0"/>
        <w:snapToGrid w:val="0"/>
        <w:spacing w:line="60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项目联系人：郭老师</w:t>
      </w:r>
    </w:p>
    <w:p w14:paraId="03DA3323">
      <w:pPr>
        <w:adjustRightInd w:val="0"/>
        <w:snapToGrid w:val="0"/>
        <w:spacing w:line="600" w:lineRule="exact"/>
        <w:ind w:firstLine="560" w:firstLineChars="200"/>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t>电话：0951-6980069   15009678684</w:t>
      </w:r>
      <w:r>
        <w:rPr>
          <w:rFonts w:hint="eastAsia" w:ascii="仿宋_GB2312" w:hAnsi="仿宋_GB2312" w:eastAsia="仿宋_GB2312" w:cs="仿宋_GB2312"/>
          <w:color w:val="auto"/>
          <w:kern w:val="0"/>
          <w:sz w:val="28"/>
          <w:szCs w:val="28"/>
          <w:highlight w:val="none"/>
        </w:rPr>
        <w:t xml:space="preserve">　　　　 </w:t>
      </w:r>
      <w:r>
        <w:rPr>
          <w:rFonts w:hint="eastAsia" w:ascii="仿宋_GB2312" w:hAnsi="仿宋_GB2312" w:eastAsia="仿宋_GB2312" w:cs="仿宋_GB2312"/>
          <w:b/>
          <w:color w:val="auto"/>
          <w:sz w:val="28"/>
          <w:szCs w:val="28"/>
          <w:highlight w:val="none"/>
        </w:rPr>
        <w:t xml:space="preserve"> </w:t>
      </w:r>
    </w:p>
    <w:p w14:paraId="64E86C9A">
      <w:pPr>
        <w:adjustRightInd w:val="0"/>
        <w:snapToGrid w:val="0"/>
        <w:spacing w:line="336" w:lineRule="auto"/>
        <w:jc w:val="center"/>
        <w:rPr>
          <w:rFonts w:ascii="仿宋" w:hAnsi="仿宋" w:eastAsia="仿宋" w:cs="仿宋_GB2312"/>
          <w:b/>
          <w:color w:val="auto"/>
          <w:sz w:val="24"/>
          <w:szCs w:val="32"/>
          <w:highlight w:val="none"/>
        </w:rPr>
      </w:pPr>
    </w:p>
    <w:p w14:paraId="439B3433">
      <w:pPr>
        <w:adjustRightInd w:val="0"/>
        <w:snapToGrid w:val="0"/>
        <w:spacing w:line="336" w:lineRule="auto"/>
        <w:jc w:val="center"/>
        <w:rPr>
          <w:rFonts w:ascii="仿宋" w:hAnsi="仿宋" w:eastAsia="仿宋" w:cs="仿宋_GB2312"/>
          <w:b/>
          <w:color w:val="auto"/>
          <w:sz w:val="24"/>
          <w:szCs w:val="32"/>
          <w:highlight w:val="none"/>
        </w:rPr>
      </w:pPr>
    </w:p>
    <w:p w14:paraId="342E63B7">
      <w:pPr>
        <w:adjustRightInd w:val="0"/>
        <w:snapToGrid w:val="0"/>
        <w:spacing w:line="600" w:lineRule="exact"/>
        <w:rPr>
          <w:rFonts w:ascii="仿宋_GB2312" w:hAnsi="仿宋_GB2312" w:eastAsia="仿宋_GB2312" w:cs="仿宋_GB2312"/>
          <w:color w:val="auto"/>
          <w:sz w:val="28"/>
          <w:szCs w:val="28"/>
          <w:highlight w:val="none"/>
        </w:rPr>
      </w:pPr>
    </w:p>
    <w:p w14:paraId="72B43F7D">
      <w:pPr>
        <w:adjustRightInd w:val="0"/>
        <w:snapToGrid w:val="0"/>
        <w:spacing w:line="600" w:lineRule="exact"/>
        <w:ind w:firstLine="5040" w:firstLineChars="18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宁夏医科大学</w:t>
      </w:r>
    </w:p>
    <w:p w14:paraId="07F4A0B7">
      <w:pPr>
        <w:adjustRightInd w:val="0"/>
        <w:snapToGrid w:val="0"/>
        <w:spacing w:line="600" w:lineRule="exact"/>
        <w:ind w:firstLine="5040" w:firstLineChars="1800"/>
        <w:rPr>
          <w:rFonts w:ascii="仿宋" w:hAnsi="仿宋" w:eastAsia="仿宋" w:cs="仿宋_GB2312"/>
          <w:color w:val="auto"/>
          <w:sz w:val="24"/>
          <w:szCs w:val="32"/>
          <w:highlight w:val="none"/>
        </w:rPr>
      </w:pPr>
      <w:r>
        <w:rPr>
          <w:rFonts w:hint="eastAsia" w:ascii="仿宋_GB2312" w:hAnsi="仿宋_GB2312" w:eastAsia="仿宋_GB2312" w:cs="仿宋_GB2312"/>
          <w:color w:val="auto"/>
          <w:sz w:val="28"/>
          <w:szCs w:val="28"/>
          <w:highlight w:val="none"/>
        </w:rPr>
        <w:t>2026年</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 xml:space="preserve">日  </w:t>
      </w:r>
      <w:r>
        <w:rPr>
          <w:rFonts w:ascii="仿宋" w:hAnsi="仿宋" w:eastAsia="仿宋" w:cs="仿宋_GB2312"/>
          <w:b/>
          <w:color w:val="auto"/>
          <w:sz w:val="24"/>
          <w:szCs w:val="32"/>
          <w:highlight w:val="none"/>
        </w:rPr>
        <w:t xml:space="preserve">             </w:t>
      </w:r>
      <w:r>
        <w:rPr>
          <w:rFonts w:hint="eastAsia" w:ascii="仿宋" w:hAnsi="仿宋" w:eastAsia="仿宋" w:cs="仿宋_GB2312"/>
          <w:b/>
          <w:color w:val="auto"/>
          <w:sz w:val="24"/>
          <w:szCs w:val="32"/>
          <w:highlight w:val="none"/>
        </w:rPr>
        <w:t xml:space="preserve">                     </w:t>
      </w:r>
    </w:p>
    <w:p w14:paraId="4EC63B29">
      <w:pPr>
        <w:rPr>
          <w:rFonts w:ascii="仿宋" w:hAnsi="仿宋" w:eastAsia="仿宋" w:cs="仿宋"/>
          <w:b/>
          <w:bCs/>
          <w:color w:val="auto"/>
          <w:sz w:val="32"/>
          <w:szCs w:val="32"/>
          <w:highlight w:val="none"/>
        </w:rPr>
      </w:pPr>
      <w:r>
        <w:rPr>
          <w:rFonts w:ascii="仿宋" w:hAnsi="仿宋" w:eastAsia="仿宋" w:cs="仿宋"/>
          <w:b/>
          <w:bCs/>
          <w:color w:val="auto"/>
          <w:sz w:val="32"/>
          <w:szCs w:val="32"/>
          <w:highlight w:val="none"/>
        </w:rPr>
        <w:br w:type="page"/>
      </w:r>
    </w:p>
    <w:p w14:paraId="25D873F4">
      <w:pPr>
        <w:pStyle w:val="5"/>
        <w:jc w:val="center"/>
        <w:rPr>
          <w:rFonts w:ascii="仿宋" w:hAnsi="仿宋" w:eastAsia="仿宋"/>
          <w:color w:val="auto"/>
          <w:highlight w:val="none"/>
        </w:rPr>
      </w:pPr>
      <w:bookmarkStart w:id="6" w:name="_Toc29301"/>
      <w:r>
        <w:rPr>
          <w:rFonts w:hint="eastAsia" w:ascii="仿宋" w:hAnsi="仿宋" w:eastAsia="仿宋"/>
          <w:color w:val="auto"/>
          <w:highlight w:val="none"/>
        </w:rPr>
        <w:t>第二章 供应商须知前附表</w:t>
      </w:r>
      <w:bookmarkEnd w:id="6"/>
    </w:p>
    <w:tbl>
      <w:tblPr>
        <w:tblStyle w:val="23"/>
        <w:tblW w:w="91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1"/>
        <w:gridCol w:w="8603"/>
      </w:tblGrid>
      <w:tr w14:paraId="7CD44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61" w:type="dxa"/>
            <w:vAlign w:val="center"/>
          </w:tcPr>
          <w:p w14:paraId="7BE52C3B">
            <w:pPr>
              <w:spacing w:line="336" w:lineRule="auto"/>
              <w:jc w:val="center"/>
              <w:rPr>
                <w:rFonts w:ascii="仿宋" w:hAnsi="仿宋" w:eastAsia="仿宋" w:cs="仿宋"/>
                <w:color w:val="auto"/>
                <w:sz w:val="24"/>
                <w:highlight w:val="none"/>
              </w:rPr>
            </w:pPr>
            <w:r>
              <w:rPr>
                <w:rFonts w:hint="eastAsia" w:ascii="仿宋" w:hAnsi="仿宋" w:eastAsia="仿宋" w:cs="仿宋"/>
                <w:b/>
                <w:bCs/>
                <w:color w:val="auto"/>
                <w:sz w:val="24"/>
                <w:highlight w:val="none"/>
              </w:rPr>
              <w:t>序号</w:t>
            </w:r>
          </w:p>
        </w:tc>
        <w:tc>
          <w:tcPr>
            <w:tcW w:w="8603" w:type="dxa"/>
            <w:vAlign w:val="center"/>
          </w:tcPr>
          <w:p w14:paraId="21DED669">
            <w:pPr>
              <w:spacing w:line="336" w:lineRule="auto"/>
              <w:ind w:left="-48" w:leftChars="-23" w:firstLine="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内容</w:t>
            </w:r>
          </w:p>
        </w:tc>
      </w:tr>
      <w:tr w14:paraId="1D17F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61" w:type="dxa"/>
            <w:vAlign w:val="center"/>
          </w:tcPr>
          <w:p w14:paraId="75D25C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603" w:type="dxa"/>
            <w:vAlign w:val="center"/>
          </w:tcPr>
          <w:p w14:paraId="223F4D7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项目名称：宁夏医科大学风险评估项目</w:t>
            </w:r>
          </w:p>
          <w:p w14:paraId="718A8C3D">
            <w:pPr>
              <w:pStyle w:val="2"/>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预算金额：13万元</w:t>
            </w:r>
          </w:p>
          <w:p w14:paraId="6B32F618">
            <w:pPr>
              <w:pStyle w:val="2"/>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采购需求：详见采购文件第四章</w:t>
            </w:r>
          </w:p>
        </w:tc>
      </w:tr>
      <w:tr w14:paraId="08E82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561" w:type="dxa"/>
            <w:vAlign w:val="center"/>
          </w:tcPr>
          <w:p w14:paraId="3ADE93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603" w:type="dxa"/>
            <w:vAlign w:val="center"/>
          </w:tcPr>
          <w:p w14:paraId="07D4AD4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采购人：宁夏医科大学</w:t>
            </w:r>
          </w:p>
          <w:p w14:paraId="0508CE5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地  址：宁夏银川市兴庆区胜利南街1160号</w:t>
            </w:r>
          </w:p>
          <w:p w14:paraId="3DE1C7DC">
            <w:pPr>
              <w:spacing w:line="336" w:lineRule="auto"/>
              <w:rPr>
                <w:rFonts w:ascii="仿宋" w:hAnsi="仿宋" w:eastAsia="仿宋"/>
                <w:color w:val="auto"/>
                <w:sz w:val="24"/>
                <w:highlight w:val="none"/>
              </w:rPr>
            </w:pPr>
            <w:r>
              <w:rPr>
                <w:rFonts w:hint="eastAsia" w:ascii="仿宋" w:hAnsi="仿宋" w:eastAsia="仿宋" w:cs="仿宋"/>
                <w:color w:val="auto"/>
                <w:sz w:val="24"/>
                <w:highlight w:val="none"/>
              </w:rPr>
              <w:t>联系人：郭老师</w:t>
            </w:r>
          </w:p>
          <w:p w14:paraId="19BD295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联系电话：0951-6980069  15009678684</w:t>
            </w:r>
          </w:p>
        </w:tc>
      </w:tr>
      <w:tr w14:paraId="311D3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561" w:type="dxa"/>
            <w:vAlign w:val="center"/>
          </w:tcPr>
          <w:p w14:paraId="4C3E96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603" w:type="dxa"/>
            <w:vAlign w:val="center"/>
          </w:tcPr>
          <w:p w14:paraId="1824C57A">
            <w:pPr>
              <w:spacing w:line="336"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合格供应商的资格要求：</w:t>
            </w:r>
          </w:p>
          <w:p w14:paraId="55B894E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1.投标人营业执照(或事业单位法人证书，或社会团体法人登记证书)，如投标人为自然人的需提供自然人身份证明，</w:t>
            </w:r>
            <w:r>
              <w:rPr>
                <w:rFonts w:hint="eastAsia" w:ascii="仿宋" w:hAnsi="仿宋" w:eastAsia="仿宋" w:cs="仿宋"/>
                <w:b/>
                <w:bCs/>
                <w:color w:val="auto"/>
                <w:sz w:val="24"/>
                <w:highlight w:val="none"/>
              </w:rPr>
              <w:t>投标文件中附复印件并加盖公章，否则视为无效投标；</w:t>
            </w:r>
          </w:p>
          <w:p w14:paraId="2534B1D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2.法定代表人授权书原件及被授权人身份证复印件（法定代表人直接投标可不提供，但须提供法定代表人身份证明），</w:t>
            </w:r>
            <w:r>
              <w:rPr>
                <w:rFonts w:hint="eastAsia" w:ascii="仿宋" w:hAnsi="仿宋" w:eastAsia="仿宋" w:cs="仿宋"/>
                <w:b/>
                <w:bCs/>
                <w:color w:val="auto"/>
                <w:sz w:val="24"/>
                <w:highlight w:val="none"/>
              </w:rPr>
              <w:t>投标文件中附原件，否则视为无效投标；</w:t>
            </w:r>
          </w:p>
          <w:p w14:paraId="7196613C">
            <w:pPr>
              <w:spacing w:line="336" w:lineRule="auto"/>
              <w:ind w:firstLine="480" w:firstLineChars="200"/>
              <w:rPr>
                <w:rFonts w:eastAsia="仿宋"/>
                <w:color w:val="auto"/>
                <w:highlight w:val="none"/>
              </w:rPr>
            </w:pPr>
            <w:r>
              <w:rPr>
                <w:rFonts w:hint="eastAsia" w:ascii="仿宋" w:hAnsi="仿宋" w:eastAsia="仿宋" w:cs="仿宋"/>
                <w:color w:val="auto"/>
                <w:sz w:val="24"/>
                <w:highlight w:val="none"/>
              </w:rPr>
              <w:t>3.投标人</w:t>
            </w:r>
            <w:r>
              <w:rPr>
                <w:rFonts w:ascii="仿宋" w:hAnsi="仿宋" w:eastAsia="仿宋" w:cs="仿宋"/>
                <w:color w:val="auto"/>
                <w:sz w:val="24"/>
                <w:highlight w:val="none"/>
              </w:rPr>
              <w:t>在中国政府采购网站（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投标无效</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投标文件中附“</w:t>
            </w:r>
            <w:r>
              <w:rPr>
                <w:rFonts w:ascii="仿宋" w:hAnsi="仿宋" w:eastAsia="仿宋" w:cs="仿宋"/>
                <w:b/>
                <w:bCs/>
                <w:color w:val="auto"/>
                <w:sz w:val="24"/>
                <w:highlight w:val="none"/>
              </w:rPr>
              <w:t>中国政府采购网</w:t>
            </w:r>
            <w:r>
              <w:rPr>
                <w:rFonts w:hint="eastAsia" w:ascii="仿宋" w:hAnsi="仿宋" w:eastAsia="仿宋" w:cs="仿宋"/>
                <w:b/>
                <w:bCs/>
                <w:color w:val="auto"/>
                <w:sz w:val="24"/>
                <w:highlight w:val="none"/>
              </w:rPr>
              <w:t>”及“信用中国”网站查询截图复印件并加盖公章，否则视为无效投标。</w:t>
            </w:r>
          </w:p>
        </w:tc>
      </w:tr>
      <w:tr w14:paraId="7C0462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561" w:type="dxa"/>
            <w:vAlign w:val="center"/>
          </w:tcPr>
          <w:p w14:paraId="4800311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603" w:type="dxa"/>
            <w:vAlign w:val="center"/>
          </w:tcPr>
          <w:p w14:paraId="4A6857C2">
            <w:pPr>
              <w:spacing w:line="440" w:lineRule="exact"/>
              <w:ind w:left="2"/>
              <w:rPr>
                <w:rFonts w:ascii="仿宋" w:hAnsi="仿宋" w:eastAsia="仿宋" w:cs="Arial"/>
                <w:bCs/>
                <w:color w:val="auto"/>
                <w:sz w:val="24"/>
                <w:highlight w:val="none"/>
              </w:rPr>
            </w:pPr>
            <w:r>
              <w:rPr>
                <w:rFonts w:hint="eastAsia" w:ascii="仿宋" w:hAnsi="仿宋" w:eastAsia="仿宋" w:cs="Arial"/>
                <w:bCs/>
                <w:color w:val="auto"/>
                <w:sz w:val="24"/>
                <w:highlight w:val="none"/>
              </w:rPr>
              <w:t>招标文件下载：2026年</w:t>
            </w:r>
            <w:r>
              <w:rPr>
                <w:rFonts w:hint="eastAsia" w:ascii="仿宋" w:hAnsi="仿宋" w:eastAsia="仿宋" w:cs="Arial"/>
                <w:bCs/>
                <w:color w:val="auto"/>
                <w:sz w:val="24"/>
                <w:highlight w:val="none"/>
                <w:lang w:val="en-US" w:eastAsia="zh-CN"/>
              </w:rPr>
              <w:t>6</w:t>
            </w:r>
            <w:r>
              <w:rPr>
                <w:rFonts w:hint="eastAsia" w:ascii="仿宋" w:hAnsi="仿宋" w:eastAsia="仿宋" w:cs="Arial"/>
                <w:bCs/>
                <w:color w:val="auto"/>
                <w:sz w:val="24"/>
                <w:highlight w:val="none"/>
              </w:rPr>
              <w:t>月</w:t>
            </w:r>
            <w:r>
              <w:rPr>
                <w:rFonts w:hint="eastAsia" w:ascii="仿宋" w:hAnsi="仿宋" w:eastAsia="仿宋" w:cs="Arial"/>
                <w:bCs/>
                <w:color w:val="auto"/>
                <w:sz w:val="24"/>
                <w:highlight w:val="none"/>
                <w:lang w:val="en-US" w:eastAsia="zh-CN"/>
              </w:rPr>
              <w:t>3</w:t>
            </w:r>
            <w:r>
              <w:rPr>
                <w:rFonts w:hint="eastAsia" w:ascii="仿宋" w:hAnsi="仿宋" w:eastAsia="仿宋" w:cs="Arial"/>
                <w:bCs/>
                <w:color w:val="auto"/>
                <w:sz w:val="24"/>
                <w:highlight w:val="none"/>
              </w:rPr>
              <w:t>日起至2026年</w:t>
            </w:r>
            <w:r>
              <w:rPr>
                <w:rFonts w:hint="eastAsia" w:ascii="仿宋" w:hAnsi="仿宋" w:eastAsia="仿宋" w:cs="Arial"/>
                <w:bCs/>
                <w:color w:val="auto"/>
                <w:sz w:val="24"/>
                <w:highlight w:val="none"/>
                <w:lang w:val="en-US" w:eastAsia="zh-CN"/>
              </w:rPr>
              <w:t>6</w:t>
            </w:r>
            <w:r>
              <w:rPr>
                <w:rFonts w:hint="eastAsia" w:ascii="仿宋" w:hAnsi="仿宋" w:eastAsia="仿宋" w:cs="Arial"/>
                <w:bCs/>
                <w:color w:val="auto"/>
                <w:sz w:val="24"/>
                <w:highlight w:val="none"/>
              </w:rPr>
              <w:t>月</w:t>
            </w:r>
            <w:r>
              <w:rPr>
                <w:rFonts w:hint="eastAsia" w:ascii="仿宋" w:hAnsi="仿宋" w:eastAsia="仿宋" w:cs="Arial"/>
                <w:bCs/>
                <w:color w:val="auto"/>
                <w:sz w:val="24"/>
                <w:highlight w:val="none"/>
                <w:lang w:val="en-US" w:eastAsia="zh-CN"/>
              </w:rPr>
              <w:t>8</w:t>
            </w:r>
            <w:r>
              <w:rPr>
                <w:rFonts w:hint="eastAsia" w:ascii="仿宋" w:hAnsi="仿宋" w:eastAsia="仿宋" w:cs="Arial"/>
                <w:bCs/>
                <w:color w:val="auto"/>
                <w:sz w:val="24"/>
                <w:highlight w:val="none"/>
              </w:rPr>
              <w:t>日</w:t>
            </w:r>
            <w:bookmarkStart w:id="187" w:name="_GoBack"/>
            <w:bookmarkEnd w:id="187"/>
          </w:p>
          <w:p w14:paraId="1FFB98DA">
            <w:pPr>
              <w:spacing w:line="440" w:lineRule="exact"/>
              <w:ind w:left="2"/>
              <w:rPr>
                <w:rFonts w:ascii="仿宋" w:hAnsi="仿宋" w:eastAsia="仿宋" w:cs="Arial"/>
                <w:bCs/>
                <w:color w:val="auto"/>
                <w:sz w:val="24"/>
                <w:highlight w:val="none"/>
              </w:rPr>
            </w:pPr>
            <w:r>
              <w:rPr>
                <w:rFonts w:hint="eastAsia" w:ascii="仿宋" w:hAnsi="仿宋" w:eastAsia="仿宋" w:cs="Arial"/>
                <w:bCs/>
                <w:color w:val="auto"/>
                <w:sz w:val="24"/>
                <w:highlight w:val="none"/>
              </w:rPr>
              <w:t>送交投标文件截止时间：</w:t>
            </w:r>
            <w:r>
              <w:rPr>
                <w:rFonts w:hint="eastAsia" w:ascii="仿宋" w:hAnsi="仿宋" w:eastAsia="仿宋" w:cs="仿宋"/>
                <w:color w:val="auto"/>
                <w:sz w:val="24"/>
                <w:highlight w:val="none"/>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日上午</w:t>
            </w:r>
            <w:r>
              <w:rPr>
                <w:rFonts w:hint="eastAsia" w:ascii="仿宋" w:hAnsi="仿宋" w:eastAsia="仿宋" w:cs="仿宋"/>
                <w:bCs/>
                <w:color w:val="auto"/>
                <w:sz w:val="24"/>
                <w:highlight w:val="none"/>
                <w:lang w:val="en-US" w:eastAsia="zh-CN"/>
              </w:rPr>
              <w:t>10</w:t>
            </w:r>
            <w:r>
              <w:rPr>
                <w:rFonts w:hint="eastAsia" w:ascii="仿宋" w:hAnsi="仿宋" w:eastAsia="仿宋" w:cs="仿宋"/>
                <w:bCs/>
                <w:color w:val="auto"/>
                <w:sz w:val="24"/>
                <w:highlight w:val="none"/>
              </w:rPr>
              <w:t>：00（北京时间）</w:t>
            </w:r>
          </w:p>
          <w:p w14:paraId="1223A1D7">
            <w:pPr>
              <w:spacing w:line="336" w:lineRule="auto"/>
              <w:rPr>
                <w:rFonts w:ascii="仿宋" w:hAnsi="仿宋" w:eastAsia="仿宋" w:cs="Arial"/>
                <w:bCs/>
                <w:color w:val="auto"/>
                <w:sz w:val="24"/>
                <w:highlight w:val="none"/>
              </w:rPr>
            </w:pPr>
            <w:r>
              <w:rPr>
                <w:rFonts w:hint="eastAsia" w:ascii="仿宋" w:hAnsi="仿宋" w:eastAsia="仿宋" w:cs="Arial"/>
                <w:bCs/>
                <w:color w:val="auto"/>
                <w:sz w:val="24"/>
                <w:highlight w:val="none"/>
              </w:rPr>
              <w:t>送交地点:兴庆区胜利南街1160号，宁夏医科大学雁湖校区正德楼219室</w:t>
            </w:r>
          </w:p>
        </w:tc>
      </w:tr>
      <w:tr w14:paraId="5CC0F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9" w:hRule="atLeast"/>
          <w:jc w:val="center"/>
        </w:trPr>
        <w:tc>
          <w:tcPr>
            <w:tcW w:w="561" w:type="dxa"/>
            <w:vAlign w:val="center"/>
          </w:tcPr>
          <w:p w14:paraId="4F5277A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603" w:type="dxa"/>
            <w:vAlign w:val="center"/>
          </w:tcPr>
          <w:p w14:paraId="29C43B53">
            <w:pPr>
              <w:spacing w:line="440" w:lineRule="exact"/>
              <w:ind w:left="-3" w:firstLine="3"/>
              <w:rPr>
                <w:rFonts w:ascii="仿宋" w:hAnsi="仿宋" w:eastAsia="仿宋" w:cs="Arial"/>
                <w:bCs/>
                <w:color w:val="auto"/>
                <w:sz w:val="24"/>
                <w:highlight w:val="none"/>
              </w:rPr>
            </w:pPr>
            <w:r>
              <w:rPr>
                <w:rFonts w:hint="eastAsia" w:ascii="仿宋" w:hAnsi="仿宋" w:eastAsia="仿宋" w:cs="Arial"/>
                <w:b/>
                <w:color w:val="auto"/>
                <w:sz w:val="24"/>
                <w:highlight w:val="none"/>
              </w:rPr>
              <w:t>标前答疑：</w:t>
            </w:r>
            <w:r>
              <w:rPr>
                <w:rFonts w:ascii="仿宋" w:hAnsi="仿宋" w:eastAsia="仿宋" w:cs="Arial"/>
                <w:bCs/>
                <w:color w:val="auto"/>
                <w:sz w:val="24"/>
                <w:highlight w:val="none"/>
              </w:rPr>
              <w:t xml:space="preserve"> </w:t>
            </w:r>
          </w:p>
          <w:p w14:paraId="68249ED7">
            <w:pPr>
              <w:spacing w:line="440" w:lineRule="exact"/>
              <w:ind w:left="-3" w:firstLine="480" w:firstLineChars="200"/>
              <w:rPr>
                <w:rFonts w:ascii="仿宋" w:hAnsi="仿宋" w:eastAsia="仿宋" w:cs="Arial"/>
                <w:bCs/>
                <w:color w:val="auto"/>
                <w:sz w:val="24"/>
                <w:highlight w:val="none"/>
              </w:rPr>
            </w:pPr>
            <w:r>
              <w:rPr>
                <w:rFonts w:hint="eastAsia" w:ascii="仿宋" w:hAnsi="仿宋" w:eastAsia="仿宋" w:cs="Arial"/>
                <w:bCs/>
                <w:color w:val="auto"/>
                <w:sz w:val="24"/>
                <w:highlight w:val="none"/>
              </w:rPr>
              <w:t>已获取采购相关文件的供应商须在</w:t>
            </w:r>
            <w:r>
              <w:rPr>
                <w:rFonts w:hint="eastAsia" w:ascii="仿宋" w:hAnsi="仿宋" w:eastAsia="仿宋" w:cs="仿宋"/>
                <w:color w:val="auto"/>
                <w:sz w:val="24"/>
                <w:highlight w:val="none"/>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日</w:t>
            </w:r>
            <w:r>
              <w:rPr>
                <w:rFonts w:hint="eastAsia" w:ascii="仿宋" w:hAnsi="仿宋" w:eastAsia="仿宋"/>
                <w:bCs/>
                <w:color w:val="auto"/>
                <w:sz w:val="24"/>
                <w:highlight w:val="none"/>
                <w:lang w:eastAsia="zh-CN"/>
              </w:rPr>
              <w:t>上</w:t>
            </w:r>
            <w:r>
              <w:rPr>
                <w:rFonts w:hint="eastAsia" w:ascii="仿宋" w:hAnsi="仿宋" w:eastAsia="仿宋"/>
                <w:bCs/>
                <w:color w:val="auto"/>
                <w:sz w:val="24"/>
                <w:highlight w:val="none"/>
              </w:rPr>
              <w:t>午</w:t>
            </w:r>
            <w:r>
              <w:rPr>
                <w:rFonts w:hint="eastAsia" w:ascii="仿宋" w:hAnsi="仿宋" w:eastAsia="仿宋" w:cs="Arial"/>
                <w:bCs/>
                <w:color w:val="auto"/>
                <w:sz w:val="24"/>
                <w:highlight w:val="none"/>
                <w:lang w:val="en-US" w:eastAsia="zh-CN"/>
              </w:rPr>
              <w:t>10</w:t>
            </w:r>
            <w:r>
              <w:rPr>
                <w:rFonts w:hint="eastAsia" w:ascii="仿宋" w:hAnsi="仿宋" w:eastAsia="仿宋" w:cs="Arial"/>
                <w:bCs/>
                <w:color w:val="auto"/>
                <w:sz w:val="24"/>
                <w:highlight w:val="none"/>
              </w:rPr>
              <w:t>：0</w:t>
            </w:r>
            <w:r>
              <w:rPr>
                <w:rFonts w:ascii="仿宋" w:hAnsi="仿宋" w:eastAsia="仿宋" w:cs="Arial"/>
                <w:bCs/>
                <w:color w:val="auto"/>
                <w:sz w:val="24"/>
                <w:highlight w:val="none"/>
              </w:rPr>
              <w:t>0</w:t>
            </w:r>
            <w:r>
              <w:rPr>
                <w:rFonts w:hint="eastAsia" w:ascii="仿宋" w:hAnsi="仿宋" w:eastAsia="仿宋" w:cs="Arial"/>
                <w:bCs/>
                <w:color w:val="auto"/>
                <w:sz w:val="24"/>
                <w:highlight w:val="none"/>
              </w:rPr>
              <w:t>前 (过期不予接收)将阅读采购文件后所提出的疑问以书面形式提交至宁夏医科大学。</w:t>
            </w:r>
          </w:p>
          <w:p w14:paraId="5FEE8714">
            <w:pPr>
              <w:spacing w:line="336" w:lineRule="auto"/>
              <w:ind w:firstLine="480" w:firstLineChars="200"/>
              <w:rPr>
                <w:rFonts w:ascii="仿宋" w:hAnsi="仿宋" w:eastAsia="仿宋" w:cs="Arial"/>
                <w:bCs/>
                <w:color w:val="auto"/>
                <w:sz w:val="24"/>
                <w:highlight w:val="none"/>
              </w:rPr>
            </w:pPr>
            <w:r>
              <w:rPr>
                <w:rFonts w:hint="eastAsia" w:ascii="仿宋" w:hAnsi="仿宋" w:eastAsia="仿宋" w:cs="Arial"/>
                <w:bCs/>
                <w:color w:val="auto"/>
                <w:sz w:val="24"/>
                <w:highlight w:val="none"/>
              </w:rPr>
              <w:t>采购人将对供应商书面提出的疑问进行澄清和解答，并以书面形式告知供应商。</w:t>
            </w:r>
          </w:p>
        </w:tc>
      </w:tr>
      <w:tr w14:paraId="6F37D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85" w:hRule="atLeast"/>
          <w:jc w:val="center"/>
        </w:trPr>
        <w:tc>
          <w:tcPr>
            <w:tcW w:w="561" w:type="dxa"/>
            <w:vAlign w:val="center"/>
          </w:tcPr>
          <w:p w14:paraId="71BBF1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603" w:type="dxa"/>
            <w:vAlign w:val="center"/>
          </w:tcPr>
          <w:p w14:paraId="5237EC49">
            <w:pPr>
              <w:spacing w:line="336" w:lineRule="auto"/>
              <w:rPr>
                <w:rFonts w:ascii="仿宋" w:hAnsi="仿宋" w:eastAsia="仿宋"/>
                <w:color w:val="auto"/>
                <w:sz w:val="24"/>
                <w:highlight w:val="none"/>
              </w:rPr>
            </w:pPr>
            <w:r>
              <w:rPr>
                <w:rFonts w:hint="eastAsia" w:ascii="仿宋" w:hAnsi="仿宋" w:eastAsia="仿宋"/>
                <w:color w:val="auto"/>
                <w:sz w:val="24"/>
                <w:highlight w:val="none"/>
              </w:rPr>
              <w:t>开标时间：</w:t>
            </w:r>
            <w:r>
              <w:rPr>
                <w:rFonts w:hint="eastAsia" w:ascii="仿宋" w:hAnsi="仿宋" w:eastAsia="仿宋" w:cs="仿宋"/>
                <w:color w:val="auto"/>
                <w:sz w:val="24"/>
                <w:highlight w:val="none"/>
              </w:rPr>
              <w:t>2026年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eastAsia="zh-CN"/>
              </w:rPr>
              <w:t>上午</w:t>
            </w:r>
            <w:r>
              <w:rPr>
                <w:rFonts w:hint="eastAsia" w:ascii="仿宋" w:hAnsi="仿宋" w:eastAsia="仿宋" w:cs="仿宋"/>
                <w:color w:val="auto"/>
                <w:sz w:val="24"/>
                <w:highlight w:val="none"/>
                <w:lang w:val="en-US" w:eastAsia="zh-CN"/>
              </w:rPr>
              <w:t>10:</w:t>
            </w:r>
            <w:r>
              <w:rPr>
                <w:rFonts w:hint="eastAsia" w:ascii="仿宋" w:hAnsi="仿宋" w:eastAsia="仿宋" w:cs="仿宋"/>
                <w:bCs/>
                <w:color w:val="auto"/>
                <w:sz w:val="24"/>
                <w:highlight w:val="none"/>
              </w:rPr>
              <w:t>00（北京时间）</w:t>
            </w:r>
          </w:p>
          <w:p w14:paraId="467089F4">
            <w:pPr>
              <w:spacing w:line="440" w:lineRule="exact"/>
              <w:rPr>
                <w:rFonts w:ascii="仿宋" w:hAnsi="仿宋" w:eastAsia="仿宋"/>
                <w:color w:val="auto"/>
                <w:sz w:val="24"/>
                <w:highlight w:val="none"/>
              </w:rPr>
            </w:pPr>
            <w:r>
              <w:rPr>
                <w:rFonts w:hint="eastAsia" w:ascii="仿宋" w:hAnsi="仿宋" w:eastAsia="仿宋"/>
                <w:color w:val="auto"/>
                <w:sz w:val="24"/>
                <w:highlight w:val="none"/>
              </w:rPr>
              <w:t>开标地点：宁夏医科大学雁湖校区正德楼221室</w:t>
            </w:r>
          </w:p>
          <w:p w14:paraId="666942E2">
            <w:pPr>
              <w:spacing w:line="336" w:lineRule="auto"/>
              <w:rPr>
                <w:rFonts w:ascii="仿宋" w:hAnsi="仿宋" w:eastAsia="仿宋" w:cs="Arial"/>
                <w:bCs/>
                <w:color w:val="auto"/>
                <w:sz w:val="24"/>
                <w:highlight w:val="non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址：宁夏银川市兴庆区胜利南街1160号</w:t>
            </w:r>
          </w:p>
        </w:tc>
      </w:tr>
      <w:tr w14:paraId="57920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83" w:hRule="atLeast"/>
          <w:jc w:val="center"/>
        </w:trPr>
        <w:tc>
          <w:tcPr>
            <w:tcW w:w="561" w:type="dxa"/>
            <w:vAlign w:val="center"/>
          </w:tcPr>
          <w:p w14:paraId="4B7AC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603" w:type="dxa"/>
            <w:vAlign w:val="center"/>
          </w:tcPr>
          <w:p w14:paraId="3FE96585">
            <w:pPr>
              <w:spacing w:line="440" w:lineRule="exact"/>
              <w:ind w:left="2"/>
              <w:rPr>
                <w:rFonts w:ascii="仿宋" w:hAnsi="仿宋" w:eastAsia="仿宋" w:cs="仿宋"/>
                <w:color w:val="auto"/>
                <w:sz w:val="24"/>
                <w:highlight w:val="none"/>
              </w:rPr>
            </w:pPr>
            <w:r>
              <w:rPr>
                <w:rFonts w:hint="eastAsia" w:ascii="仿宋" w:hAnsi="仿宋" w:eastAsia="仿宋" w:cs="仿宋"/>
                <w:color w:val="auto"/>
                <w:sz w:val="24"/>
                <w:highlight w:val="none"/>
              </w:rPr>
              <w:t>服务期限：合同签订后</w:t>
            </w:r>
            <w:r>
              <w:rPr>
                <w:rFonts w:hint="eastAsia" w:ascii="仿宋" w:hAnsi="仿宋" w:eastAsia="仿宋" w:cs="仿宋"/>
                <w:color w:val="auto"/>
                <w:sz w:val="24"/>
                <w:highlight w:val="none"/>
                <w:lang w:val="en-US" w:eastAsia="zh-CN"/>
              </w:rPr>
              <w:t>90</w:t>
            </w:r>
            <w:r>
              <w:rPr>
                <w:rFonts w:hint="eastAsia" w:ascii="仿宋" w:hAnsi="仿宋" w:eastAsia="仿宋" w:cs="仿宋"/>
                <w:color w:val="auto"/>
                <w:sz w:val="24"/>
                <w:highlight w:val="none"/>
                <w:lang w:eastAsia="zh-CN"/>
              </w:rPr>
              <w:t>天</w:t>
            </w:r>
            <w:r>
              <w:rPr>
                <w:rFonts w:hint="eastAsia" w:ascii="仿宋" w:hAnsi="仿宋" w:eastAsia="仿宋" w:cs="仿宋"/>
                <w:color w:val="auto"/>
                <w:sz w:val="24"/>
                <w:highlight w:val="none"/>
              </w:rPr>
              <w:t>内完成服务，并通过验收。其中，进驻学校现场调查时间不少于21个工作日。</w:t>
            </w:r>
          </w:p>
          <w:p w14:paraId="77E873AF">
            <w:pPr>
              <w:spacing w:line="336" w:lineRule="auto"/>
              <w:rPr>
                <w:rFonts w:ascii="仿宋" w:hAnsi="仿宋" w:eastAsia="仿宋" w:cs="Arial"/>
                <w:bCs/>
                <w:color w:val="auto"/>
                <w:sz w:val="24"/>
                <w:highlight w:val="none"/>
              </w:rPr>
            </w:pPr>
            <w:r>
              <w:rPr>
                <w:rFonts w:hint="eastAsia" w:ascii="仿宋" w:hAnsi="仿宋" w:eastAsia="仿宋"/>
                <w:color w:val="auto"/>
                <w:sz w:val="24"/>
                <w:highlight w:val="none"/>
              </w:rPr>
              <w:t>服务地点：</w:t>
            </w:r>
            <w:r>
              <w:rPr>
                <w:rFonts w:hint="eastAsia" w:ascii="仿宋" w:hAnsi="仿宋" w:eastAsia="仿宋" w:cs="Arial"/>
                <w:bCs/>
                <w:color w:val="auto"/>
                <w:sz w:val="24"/>
                <w:highlight w:val="none"/>
              </w:rPr>
              <w:t>采购单位指定地点</w:t>
            </w:r>
          </w:p>
          <w:p w14:paraId="2BAAEEA5">
            <w:pPr>
              <w:spacing w:line="336" w:lineRule="auto"/>
              <w:rPr>
                <w:rFonts w:ascii="仿宋" w:hAnsi="仿宋" w:eastAsia="仿宋" w:cs="Arial"/>
                <w:bCs/>
                <w:color w:val="auto"/>
                <w:sz w:val="24"/>
                <w:highlight w:val="none"/>
              </w:rPr>
            </w:pPr>
            <w:r>
              <w:rPr>
                <w:rFonts w:eastAsia="仿宋"/>
                <w:color w:val="auto"/>
                <w:kern w:val="0"/>
                <w:sz w:val="24"/>
                <w:highlight w:val="none"/>
              </w:rPr>
              <w:t>投标有效期</w:t>
            </w:r>
            <w:r>
              <w:rPr>
                <w:rFonts w:hint="eastAsia" w:eastAsia="仿宋"/>
                <w:color w:val="auto"/>
                <w:kern w:val="0"/>
                <w:sz w:val="24"/>
                <w:highlight w:val="none"/>
              </w:rPr>
              <w:t>：</w:t>
            </w:r>
            <w:r>
              <w:rPr>
                <w:rFonts w:hint="eastAsia" w:ascii="仿宋" w:hAnsi="仿宋" w:eastAsia="仿宋" w:cs="仿宋"/>
                <w:bCs/>
                <w:color w:val="auto"/>
                <w:sz w:val="24"/>
                <w:highlight w:val="none"/>
              </w:rPr>
              <w:t>提交投标文件截止之日起60日</w:t>
            </w:r>
          </w:p>
        </w:tc>
      </w:tr>
      <w:tr w14:paraId="77E0B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3" w:hRule="atLeast"/>
          <w:jc w:val="center"/>
        </w:trPr>
        <w:tc>
          <w:tcPr>
            <w:tcW w:w="561" w:type="dxa"/>
            <w:vAlign w:val="center"/>
          </w:tcPr>
          <w:p w14:paraId="1796DA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603" w:type="dxa"/>
            <w:vAlign w:val="center"/>
          </w:tcPr>
          <w:p w14:paraId="11475050">
            <w:pPr>
              <w:spacing w:line="336" w:lineRule="auto"/>
              <w:rPr>
                <w:rFonts w:ascii="仿宋" w:hAnsi="仿宋" w:eastAsia="仿宋"/>
                <w:color w:val="auto"/>
                <w:sz w:val="24"/>
                <w:highlight w:val="none"/>
              </w:rPr>
            </w:pPr>
            <w:r>
              <w:rPr>
                <w:rFonts w:hint="eastAsia" w:ascii="仿宋" w:hAnsi="仿宋" w:eastAsia="仿宋" w:cs="仿宋"/>
                <w:color w:val="auto"/>
                <w:sz w:val="24"/>
                <w:highlight w:val="none"/>
              </w:rPr>
              <w:t>推荐中标候选人的数量：3名</w:t>
            </w:r>
          </w:p>
        </w:tc>
      </w:tr>
      <w:tr w14:paraId="38FEE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9" w:hRule="atLeast"/>
          <w:jc w:val="center"/>
        </w:trPr>
        <w:tc>
          <w:tcPr>
            <w:tcW w:w="561" w:type="dxa"/>
            <w:vAlign w:val="center"/>
          </w:tcPr>
          <w:p w14:paraId="037569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603" w:type="dxa"/>
            <w:vAlign w:val="center"/>
          </w:tcPr>
          <w:p w14:paraId="4A536948">
            <w:pPr>
              <w:spacing w:line="440" w:lineRule="exact"/>
              <w:rPr>
                <w:rFonts w:ascii="仿宋" w:hAnsi="仿宋" w:eastAsia="仿宋"/>
                <w:color w:val="auto"/>
                <w:sz w:val="24"/>
                <w:highlight w:val="none"/>
              </w:rPr>
            </w:pPr>
            <w:r>
              <w:rPr>
                <w:rFonts w:hint="eastAsia" w:ascii="仿宋" w:hAnsi="仿宋" w:eastAsia="仿宋"/>
                <w:color w:val="auto"/>
                <w:sz w:val="24"/>
                <w:highlight w:val="none"/>
              </w:rPr>
              <w:t>投标文件递交份数：正本份数：</w:t>
            </w:r>
            <w:r>
              <w:rPr>
                <w:rFonts w:hint="eastAsia" w:ascii="仿宋" w:hAnsi="仿宋" w:eastAsia="仿宋"/>
                <w:color w:val="auto"/>
                <w:sz w:val="24"/>
                <w:highlight w:val="none"/>
                <w:u w:val="single"/>
              </w:rPr>
              <w:t>壹</w:t>
            </w:r>
            <w:r>
              <w:rPr>
                <w:rFonts w:hint="eastAsia" w:ascii="仿宋" w:hAnsi="仿宋" w:eastAsia="仿宋"/>
                <w:color w:val="auto"/>
                <w:sz w:val="24"/>
                <w:highlight w:val="none"/>
              </w:rPr>
              <w:t>份            副本份数：</w:t>
            </w:r>
            <w:r>
              <w:rPr>
                <w:rFonts w:hint="eastAsia" w:ascii="仿宋" w:hAnsi="仿宋" w:eastAsia="仿宋"/>
                <w:color w:val="auto"/>
                <w:sz w:val="24"/>
                <w:highlight w:val="none"/>
                <w:u w:val="single"/>
              </w:rPr>
              <w:t>叁</w:t>
            </w:r>
            <w:r>
              <w:rPr>
                <w:rFonts w:hint="eastAsia" w:ascii="仿宋" w:hAnsi="仿宋" w:eastAsia="仿宋"/>
                <w:color w:val="auto"/>
                <w:sz w:val="24"/>
                <w:highlight w:val="none"/>
              </w:rPr>
              <w:t>份</w:t>
            </w:r>
          </w:p>
          <w:p w14:paraId="7CFACF5C">
            <w:pPr>
              <w:spacing w:line="360" w:lineRule="auto"/>
              <w:ind w:left="1" w:firstLine="480" w:firstLineChars="200"/>
              <w:rPr>
                <w:rFonts w:eastAsia="仿宋"/>
                <w:color w:val="auto"/>
                <w:sz w:val="24"/>
                <w:highlight w:val="none"/>
              </w:rPr>
            </w:pPr>
            <w:r>
              <w:rPr>
                <w:rFonts w:hint="eastAsia" w:eastAsia="仿宋"/>
                <w:color w:val="auto"/>
                <w:sz w:val="24"/>
                <w:highlight w:val="none"/>
              </w:rPr>
              <w:t>投标文件</w:t>
            </w:r>
            <w:r>
              <w:rPr>
                <w:rFonts w:eastAsia="仿宋"/>
                <w:color w:val="auto"/>
                <w:sz w:val="24"/>
                <w:highlight w:val="none"/>
              </w:rPr>
              <w:t>应当用不能被他人知悉或更换文件内容的方式密封，</w:t>
            </w:r>
            <w:r>
              <w:rPr>
                <w:rFonts w:hint="eastAsia" w:eastAsia="仿宋"/>
                <w:color w:val="auto"/>
                <w:sz w:val="24"/>
                <w:highlight w:val="none"/>
              </w:rPr>
              <w:t>供应商</w:t>
            </w:r>
            <w:r>
              <w:rPr>
                <w:rFonts w:eastAsia="仿宋"/>
                <w:color w:val="auto"/>
                <w:sz w:val="24"/>
                <w:highlight w:val="none"/>
              </w:rPr>
              <w:t>应承担封装失误产生的任何后果。所有包装封皮和信封上均应：</w:t>
            </w:r>
          </w:p>
          <w:p w14:paraId="3CF20551">
            <w:pPr>
              <w:spacing w:line="360" w:lineRule="auto"/>
              <w:ind w:firstLine="480" w:firstLineChars="200"/>
              <w:rPr>
                <w:rFonts w:eastAsia="仿宋"/>
                <w:color w:val="auto"/>
                <w:sz w:val="24"/>
                <w:highlight w:val="none"/>
              </w:rPr>
            </w:pPr>
            <w:r>
              <w:rPr>
                <w:rFonts w:eastAsia="仿宋"/>
                <w:color w:val="auto"/>
                <w:sz w:val="24"/>
                <w:highlight w:val="none"/>
              </w:rPr>
              <w:t>（1）注明项目名称、</w:t>
            </w:r>
            <w:r>
              <w:rPr>
                <w:rFonts w:hint="eastAsia" w:eastAsia="仿宋"/>
                <w:color w:val="auto"/>
                <w:sz w:val="24"/>
                <w:highlight w:val="none"/>
              </w:rPr>
              <w:t>投标单位</w:t>
            </w:r>
            <w:r>
              <w:rPr>
                <w:rFonts w:eastAsia="仿宋"/>
                <w:color w:val="auto"/>
                <w:sz w:val="24"/>
                <w:highlight w:val="none"/>
              </w:rPr>
              <w:t>名称和“在（</w:t>
            </w:r>
            <w:r>
              <w:rPr>
                <w:rFonts w:hint="eastAsia" w:eastAsia="仿宋"/>
                <w:color w:val="auto"/>
                <w:sz w:val="24"/>
                <w:highlight w:val="none"/>
              </w:rPr>
              <w:t>采购</w:t>
            </w:r>
            <w:r>
              <w:rPr>
                <w:rFonts w:eastAsia="仿宋"/>
                <w:color w:val="auto"/>
                <w:sz w:val="24"/>
                <w:highlight w:val="none"/>
              </w:rPr>
              <w:t>时间）之前不得启封”的字样。</w:t>
            </w:r>
          </w:p>
          <w:p w14:paraId="2BC2C8DF">
            <w:pPr>
              <w:spacing w:line="360" w:lineRule="auto"/>
              <w:ind w:firstLine="480" w:firstLineChars="200"/>
              <w:rPr>
                <w:rFonts w:eastAsia="仿宋"/>
                <w:color w:val="auto"/>
                <w:sz w:val="24"/>
                <w:highlight w:val="none"/>
              </w:rPr>
            </w:pPr>
            <w:r>
              <w:rPr>
                <w:rFonts w:eastAsia="仿宋"/>
                <w:color w:val="auto"/>
                <w:sz w:val="24"/>
                <w:highlight w:val="none"/>
              </w:rPr>
              <w:t>（2）在封口处加盖</w:t>
            </w:r>
            <w:r>
              <w:rPr>
                <w:rFonts w:hint="eastAsia" w:eastAsia="仿宋"/>
                <w:color w:val="auto"/>
                <w:sz w:val="24"/>
                <w:highlight w:val="none"/>
              </w:rPr>
              <w:t>投标单位</w:t>
            </w:r>
            <w:r>
              <w:rPr>
                <w:rFonts w:eastAsia="仿宋"/>
                <w:color w:val="auto"/>
                <w:sz w:val="24"/>
                <w:highlight w:val="none"/>
              </w:rPr>
              <w:t>公章，或由法定代表人或委托代理人签字。</w:t>
            </w:r>
          </w:p>
          <w:p w14:paraId="6AA0E1AF">
            <w:pPr>
              <w:spacing w:line="336" w:lineRule="auto"/>
              <w:ind w:firstLine="480" w:firstLineChars="200"/>
              <w:rPr>
                <w:rFonts w:ascii="仿宋" w:hAnsi="仿宋" w:eastAsia="仿宋"/>
                <w:color w:val="auto"/>
                <w:sz w:val="24"/>
                <w:highlight w:val="none"/>
              </w:rPr>
            </w:pPr>
            <w:r>
              <w:rPr>
                <w:rFonts w:hint="eastAsia" w:eastAsia="仿宋"/>
                <w:color w:val="auto"/>
                <w:sz w:val="24"/>
                <w:highlight w:val="none"/>
              </w:rPr>
              <w:t>（3）</w:t>
            </w:r>
            <w:r>
              <w:rPr>
                <w:rFonts w:eastAsia="仿宋"/>
                <w:color w:val="auto"/>
                <w:sz w:val="24"/>
                <w:highlight w:val="none"/>
              </w:rPr>
              <w:t>如果</w:t>
            </w:r>
            <w:r>
              <w:rPr>
                <w:rFonts w:hint="eastAsia" w:eastAsia="仿宋"/>
                <w:color w:val="auto"/>
                <w:sz w:val="24"/>
                <w:highlight w:val="none"/>
              </w:rPr>
              <w:t>投标文件</w:t>
            </w:r>
            <w:r>
              <w:rPr>
                <w:rFonts w:eastAsia="仿宋"/>
                <w:color w:val="auto"/>
                <w:sz w:val="24"/>
                <w:highlight w:val="none"/>
              </w:rPr>
              <w:t>未按上述要求密封，将被拒绝接收。</w:t>
            </w:r>
          </w:p>
        </w:tc>
      </w:tr>
      <w:tr w14:paraId="09A40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85" w:hRule="atLeast"/>
          <w:jc w:val="center"/>
        </w:trPr>
        <w:tc>
          <w:tcPr>
            <w:tcW w:w="561" w:type="dxa"/>
            <w:vAlign w:val="center"/>
          </w:tcPr>
          <w:p w14:paraId="26B5D4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03" w:type="dxa"/>
            <w:vAlign w:val="center"/>
          </w:tcPr>
          <w:p w14:paraId="289F7DA6">
            <w:pPr>
              <w:spacing w:line="336" w:lineRule="auto"/>
              <w:ind w:firstLine="480" w:firstLineChars="200"/>
              <w:rPr>
                <w:rFonts w:eastAsia="仿宋"/>
                <w:color w:val="auto"/>
                <w:sz w:val="24"/>
                <w:highlight w:val="none"/>
              </w:rPr>
            </w:pPr>
            <w:r>
              <w:rPr>
                <w:rFonts w:hint="eastAsia" w:eastAsia="仿宋"/>
                <w:color w:val="auto"/>
                <w:sz w:val="24"/>
                <w:highlight w:val="none"/>
              </w:rPr>
              <w:t>投标人</w:t>
            </w:r>
            <w:r>
              <w:rPr>
                <w:rFonts w:eastAsia="仿宋"/>
                <w:color w:val="auto"/>
                <w:sz w:val="24"/>
                <w:highlight w:val="none"/>
              </w:rPr>
              <w:t>应承担其在准备、编制、递交</w:t>
            </w:r>
            <w:r>
              <w:rPr>
                <w:rFonts w:hint="eastAsia" w:eastAsia="仿宋"/>
                <w:color w:val="auto"/>
                <w:sz w:val="24"/>
                <w:highlight w:val="none"/>
              </w:rPr>
              <w:t>投标文件</w:t>
            </w:r>
            <w:r>
              <w:rPr>
                <w:rFonts w:eastAsia="仿宋"/>
                <w:color w:val="auto"/>
                <w:sz w:val="24"/>
                <w:highlight w:val="none"/>
              </w:rPr>
              <w:t>和</w:t>
            </w:r>
            <w:r>
              <w:rPr>
                <w:rFonts w:hint="eastAsia" w:eastAsia="仿宋"/>
                <w:color w:val="auto"/>
                <w:sz w:val="24"/>
                <w:highlight w:val="none"/>
              </w:rPr>
              <w:t>订立</w:t>
            </w:r>
            <w:r>
              <w:rPr>
                <w:rFonts w:eastAsia="仿宋"/>
                <w:color w:val="auto"/>
                <w:sz w:val="24"/>
                <w:highlight w:val="none"/>
              </w:rPr>
              <w:t>合同协议书的整个过程中发生的一切费用而不论</w:t>
            </w:r>
            <w:r>
              <w:rPr>
                <w:rFonts w:hint="eastAsia" w:eastAsia="仿宋"/>
                <w:color w:val="auto"/>
                <w:sz w:val="24"/>
                <w:highlight w:val="none"/>
              </w:rPr>
              <w:t>采购</w:t>
            </w:r>
            <w:r>
              <w:rPr>
                <w:rFonts w:eastAsia="仿宋"/>
                <w:color w:val="auto"/>
                <w:sz w:val="24"/>
                <w:highlight w:val="none"/>
              </w:rPr>
              <w:t>结果如何。</w:t>
            </w:r>
          </w:p>
        </w:tc>
      </w:tr>
      <w:tr w14:paraId="691B3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85" w:hRule="atLeast"/>
          <w:jc w:val="center"/>
        </w:trPr>
        <w:tc>
          <w:tcPr>
            <w:tcW w:w="561" w:type="dxa"/>
            <w:vAlign w:val="center"/>
          </w:tcPr>
          <w:p w14:paraId="74EE61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03" w:type="dxa"/>
            <w:vAlign w:val="center"/>
          </w:tcPr>
          <w:p w14:paraId="78297284">
            <w:pPr>
              <w:pStyle w:val="2"/>
              <w:spacing w:line="440" w:lineRule="exact"/>
              <w:ind w:left="0" w:leftChars="0" w:firstLine="480"/>
              <w:rPr>
                <w:rFonts w:eastAsia="仿宋"/>
                <w:color w:val="auto"/>
                <w:sz w:val="24"/>
                <w:highlight w:val="none"/>
              </w:rPr>
            </w:pPr>
            <w:r>
              <w:rPr>
                <w:rFonts w:ascii="仿宋" w:hAnsi="仿宋" w:eastAsia="仿宋" w:cs="仿宋"/>
                <w:bCs/>
                <w:color w:val="auto"/>
                <w:sz w:val="24"/>
                <w:highlight w:val="none"/>
              </w:rPr>
              <w:t>本项目</w:t>
            </w:r>
            <w:r>
              <w:rPr>
                <w:rFonts w:hint="eastAsia" w:ascii="仿宋" w:hAnsi="仿宋" w:eastAsia="仿宋" w:cs="仿宋"/>
                <w:bCs/>
                <w:color w:val="auto"/>
                <w:sz w:val="24"/>
                <w:highlight w:val="none"/>
              </w:rPr>
              <w:t>预算未达到分散采购限额标准，</w:t>
            </w:r>
            <w:r>
              <w:rPr>
                <w:rFonts w:ascii="仿宋" w:hAnsi="仿宋" w:eastAsia="仿宋" w:cs="仿宋"/>
                <w:bCs/>
                <w:color w:val="auto"/>
                <w:sz w:val="24"/>
                <w:highlight w:val="none"/>
              </w:rPr>
              <w:t>不属于政府采购项目</w:t>
            </w:r>
            <w:r>
              <w:rPr>
                <w:rFonts w:hint="eastAsia" w:ascii="仿宋" w:hAnsi="仿宋" w:eastAsia="仿宋" w:cs="仿宋"/>
                <w:bCs/>
                <w:color w:val="auto"/>
                <w:sz w:val="24"/>
                <w:highlight w:val="none"/>
              </w:rPr>
              <w:t>，亦</w:t>
            </w:r>
            <w:r>
              <w:rPr>
                <w:rFonts w:ascii="仿宋" w:hAnsi="仿宋" w:eastAsia="仿宋" w:cs="仿宋"/>
                <w:bCs/>
                <w:color w:val="auto"/>
                <w:sz w:val="24"/>
                <w:highlight w:val="none"/>
              </w:rPr>
              <w:t>不受政府采购法</w:t>
            </w:r>
            <w:r>
              <w:rPr>
                <w:rFonts w:hint="eastAsia" w:ascii="仿宋" w:hAnsi="仿宋" w:eastAsia="仿宋" w:cs="仿宋"/>
                <w:bCs/>
                <w:color w:val="auto"/>
                <w:sz w:val="24"/>
                <w:highlight w:val="none"/>
              </w:rPr>
              <w:t>、招标投标法</w:t>
            </w:r>
            <w:r>
              <w:rPr>
                <w:rFonts w:ascii="仿宋" w:hAnsi="仿宋" w:eastAsia="仿宋" w:cs="仿宋"/>
                <w:bCs/>
                <w:color w:val="auto"/>
                <w:sz w:val="24"/>
                <w:highlight w:val="none"/>
              </w:rPr>
              <w:t>的</w:t>
            </w:r>
            <w:r>
              <w:rPr>
                <w:rFonts w:hint="eastAsia" w:ascii="仿宋" w:hAnsi="仿宋" w:eastAsia="仿宋" w:cs="仿宋"/>
                <w:bCs/>
                <w:color w:val="auto"/>
                <w:sz w:val="24"/>
                <w:highlight w:val="none"/>
              </w:rPr>
              <w:t>限制</w:t>
            </w:r>
            <w:r>
              <w:rPr>
                <w:rFonts w:ascii="仿宋" w:hAnsi="仿宋" w:eastAsia="仿宋" w:cs="仿宋"/>
                <w:bCs/>
                <w:color w:val="auto"/>
                <w:sz w:val="24"/>
                <w:highlight w:val="none"/>
              </w:rPr>
              <w:t>,</w:t>
            </w:r>
            <w:r>
              <w:rPr>
                <w:rFonts w:hint="eastAsia" w:ascii="仿宋" w:hAnsi="仿宋" w:eastAsia="仿宋" w:cs="仿宋"/>
                <w:bCs/>
                <w:color w:val="auto"/>
                <w:sz w:val="24"/>
                <w:highlight w:val="none"/>
              </w:rPr>
              <w:t>本项目</w:t>
            </w:r>
            <w:r>
              <w:rPr>
                <w:rFonts w:ascii="仿宋" w:hAnsi="仿宋" w:eastAsia="仿宋" w:cs="仿宋"/>
                <w:bCs/>
                <w:color w:val="auto"/>
                <w:sz w:val="24"/>
                <w:highlight w:val="none"/>
              </w:rPr>
              <w:t>仅以本采购文件为依据。</w:t>
            </w:r>
          </w:p>
        </w:tc>
      </w:tr>
    </w:tbl>
    <w:p w14:paraId="54CFE9B9">
      <w:pPr>
        <w:rPr>
          <w:rFonts w:ascii="仿宋" w:hAnsi="仿宋" w:eastAsia="仿宋"/>
          <w:color w:val="auto"/>
          <w:highlight w:val="none"/>
        </w:rPr>
      </w:pPr>
      <w:r>
        <w:rPr>
          <w:rFonts w:hint="eastAsia" w:ascii="仿宋" w:hAnsi="仿宋" w:eastAsia="仿宋"/>
          <w:color w:val="auto"/>
          <w:highlight w:val="none"/>
        </w:rPr>
        <w:br w:type="page"/>
      </w:r>
    </w:p>
    <w:p w14:paraId="47464828">
      <w:pPr>
        <w:pStyle w:val="5"/>
        <w:spacing w:line="440" w:lineRule="exact"/>
        <w:jc w:val="center"/>
        <w:rPr>
          <w:rFonts w:ascii="仿宋" w:hAnsi="仿宋" w:eastAsia="仿宋"/>
          <w:color w:val="auto"/>
          <w:highlight w:val="none"/>
        </w:rPr>
      </w:pPr>
      <w:bookmarkStart w:id="7" w:name="_Toc16205"/>
      <w:r>
        <w:rPr>
          <w:rFonts w:hint="eastAsia" w:ascii="仿宋" w:hAnsi="仿宋" w:eastAsia="仿宋"/>
          <w:color w:val="auto"/>
          <w:highlight w:val="none"/>
        </w:rPr>
        <w:t>第三章 供应商须知</w:t>
      </w:r>
      <w:bookmarkEnd w:id="7"/>
    </w:p>
    <w:p w14:paraId="6E4AFA39">
      <w:pPr>
        <w:pStyle w:val="5"/>
        <w:spacing w:before="0" w:after="0" w:line="440" w:lineRule="exact"/>
        <w:jc w:val="center"/>
        <w:rPr>
          <w:rFonts w:ascii="仿宋" w:hAnsi="仿宋" w:eastAsia="仿宋" w:cs="仿宋"/>
          <w:color w:val="auto"/>
          <w:sz w:val="28"/>
          <w:szCs w:val="28"/>
          <w:highlight w:val="none"/>
        </w:rPr>
      </w:pPr>
      <w:bookmarkStart w:id="8" w:name="_Toc21015"/>
      <w:bookmarkStart w:id="9" w:name="_Toc2582263"/>
      <w:bookmarkStart w:id="10" w:name="_Toc21215"/>
      <w:bookmarkStart w:id="11" w:name="_Toc17642"/>
      <w:bookmarkStart w:id="12" w:name="_Toc532473449"/>
      <w:r>
        <w:rPr>
          <w:rFonts w:hint="eastAsia" w:ascii="仿宋" w:hAnsi="仿宋" w:eastAsia="仿宋" w:cs="仿宋"/>
          <w:color w:val="auto"/>
          <w:sz w:val="28"/>
          <w:szCs w:val="28"/>
          <w:highlight w:val="none"/>
        </w:rPr>
        <w:t>（一）总则</w:t>
      </w:r>
      <w:bookmarkEnd w:id="8"/>
      <w:bookmarkEnd w:id="9"/>
      <w:bookmarkEnd w:id="10"/>
      <w:bookmarkEnd w:id="11"/>
      <w:bookmarkEnd w:id="12"/>
    </w:p>
    <w:p w14:paraId="4D6E58CA">
      <w:pPr>
        <w:tabs>
          <w:tab w:val="left" w:pos="0"/>
        </w:tabs>
        <w:spacing w:line="460" w:lineRule="exact"/>
        <w:rPr>
          <w:rFonts w:ascii="仿宋" w:hAnsi="仿宋" w:eastAsia="仿宋" w:cs="仿宋"/>
          <w:b/>
          <w:bCs/>
          <w:color w:val="auto"/>
          <w:sz w:val="24"/>
          <w:highlight w:val="none"/>
        </w:rPr>
      </w:pPr>
      <w:bookmarkStart w:id="13" w:name="_Toc32623"/>
      <w:bookmarkStart w:id="14" w:name="_Toc515647758"/>
      <w:bookmarkStart w:id="15" w:name="_Toc532473450"/>
      <w:bookmarkStart w:id="16" w:name="_Toc520356144"/>
      <w:bookmarkStart w:id="17" w:name="_Toc2582264"/>
      <w:bookmarkStart w:id="18" w:name="_Toc32189"/>
      <w:r>
        <w:rPr>
          <w:rFonts w:hint="eastAsia" w:ascii="仿宋" w:hAnsi="仿宋" w:eastAsia="仿宋" w:cs="仿宋"/>
          <w:b/>
          <w:bCs/>
          <w:color w:val="auto"/>
          <w:sz w:val="24"/>
          <w:highlight w:val="none"/>
        </w:rPr>
        <w:t>1.采购人及</w:t>
      </w:r>
      <w:bookmarkEnd w:id="13"/>
      <w:bookmarkEnd w:id="14"/>
      <w:bookmarkEnd w:id="15"/>
      <w:bookmarkEnd w:id="16"/>
      <w:bookmarkEnd w:id="17"/>
      <w:bookmarkEnd w:id="18"/>
      <w:r>
        <w:rPr>
          <w:rFonts w:hint="eastAsia" w:ascii="仿宋" w:hAnsi="仿宋" w:eastAsia="仿宋" w:cs="仿宋"/>
          <w:b/>
          <w:bCs/>
          <w:color w:val="auto"/>
          <w:sz w:val="24"/>
          <w:highlight w:val="none"/>
        </w:rPr>
        <w:t>供应商</w:t>
      </w:r>
    </w:p>
    <w:p w14:paraId="1D510F6F">
      <w:pPr>
        <w:tabs>
          <w:tab w:val="left" w:pos="0"/>
        </w:tabs>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1.1 采购人：是指依法进行政府采购的国家机关、事业单位、团体组织。</w:t>
      </w:r>
    </w:p>
    <w:p w14:paraId="49C9C4D4">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1.2供应商：是指投标文件的法人、非法人组织或者自然人。潜在供应商：以采购文件规定的方式获取本项目采购文件的法人、非法人组织或者自然人。</w:t>
      </w:r>
    </w:p>
    <w:p w14:paraId="5C90D8FF">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1.3 供应商及其响应的货物须满足以下条件：</w:t>
      </w:r>
    </w:p>
    <w:p w14:paraId="3BE1A2A0">
      <w:pPr>
        <w:spacing w:line="460" w:lineRule="exact"/>
        <w:ind w:left="900" w:hanging="900" w:hangingChars="375"/>
        <w:rPr>
          <w:rFonts w:ascii="仿宋" w:hAnsi="仿宋" w:eastAsia="仿宋" w:cs="仿宋"/>
          <w:color w:val="auto"/>
          <w:sz w:val="24"/>
          <w:highlight w:val="none"/>
        </w:rPr>
      </w:pPr>
      <w:r>
        <w:rPr>
          <w:rFonts w:hint="eastAsia" w:ascii="仿宋" w:hAnsi="仿宋" w:eastAsia="仿宋" w:cs="仿宋"/>
          <w:color w:val="auto"/>
          <w:sz w:val="24"/>
          <w:highlight w:val="none"/>
        </w:rPr>
        <w:t>1.3.1 具备《中华人民共和国政府采购法》第二十二条关于供应商条件的规定。</w:t>
      </w:r>
    </w:p>
    <w:p w14:paraId="5A28B4DB">
      <w:pPr>
        <w:spacing w:line="460" w:lineRule="exact"/>
        <w:ind w:left="900" w:hanging="900" w:hangingChars="375"/>
        <w:rPr>
          <w:rFonts w:ascii="仿宋" w:hAnsi="仿宋" w:eastAsia="仿宋" w:cs="仿宋"/>
          <w:color w:val="auto"/>
          <w:sz w:val="24"/>
          <w:highlight w:val="none"/>
        </w:rPr>
      </w:pPr>
      <w:r>
        <w:rPr>
          <w:rFonts w:hint="eastAsia" w:ascii="仿宋" w:hAnsi="仿宋" w:eastAsia="仿宋" w:cs="仿宋"/>
          <w:color w:val="auto"/>
          <w:sz w:val="24"/>
          <w:highlight w:val="none"/>
        </w:rPr>
        <w:t>1.3.2 以采购文件规定的方式获得了本项目的采购文件。</w:t>
      </w:r>
    </w:p>
    <w:p w14:paraId="66AF2281">
      <w:pPr>
        <w:spacing w:line="460" w:lineRule="exact"/>
        <w:ind w:left="900" w:hanging="900" w:hangingChars="375"/>
        <w:rPr>
          <w:rFonts w:ascii="仿宋" w:hAnsi="仿宋" w:eastAsia="仿宋" w:cs="仿宋"/>
          <w:color w:val="auto"/>
          <w:sz w:val="24"/>
          <w:highlight w:val="none"/>
        </w:rPr>
      </w:pPr>
      <w:r>
        <w:rPr>
          <w:rFonts w:hint="eastAsia" w:ascii="仿宋" w:hAnsi="仿宋" w:eastAsia="仿宋" w:cs="仿宋"/>
          <w:color w:val="auto"/>
          <w:sz w:val="24"/>
          <w:highlight w:val="none"/>
        </w:rPr>
        <w:t>1.3.3 符合本项目合格供应商的其他资格要求</w:t>
      </w:r>
    </w:p>
    <w:p w14:paraId="67CB8CBF">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1.4 单位负责人为同一人或者存在直接控股、管理关系的不同供应商参与本项目同一合同项下的响应的，其相关响应将被认定为响应</w:t>
      </w:r>
      <w:r>
        <w:rPr>
          <w:rFonts w:hint="eastAsia" w:ascii="仿宋" w:hAnsi="仿宋" w:eastAsia="仿宋" w:cs="仿宋"/>
          <w:b/>
          <w:color w:val="auto"/>
          <w:sz w:val="24"/>
          <w:highlight w:val="none"/>
        </w:rPr>
        <w:t>无效</w:t>
      </w:r>
      <w:r>
        <w:rPr>
          <w:rFonts w:hint="eastAsia" w:ascii="仿宋" w:hAnsi="仿宋" w:eastAsia="仿宋" w:cs="仿宋"/>
          <w:color w:val="auto"/>
          <w:sz w:val="24"/>
          <w:highlight w:val="none"/>
        </w:rPr>
        <w:t>。</w:t>
      </w:r>
    </w:p>
    <w:p w14:paraId="06E36C15">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1.5 为本项目提供过整体设计、规范编制或者项目管理、监理、检测等服务的供应商，不得再参加本项目上述服务以外的其他采购活动。否则其响应将被认定为响应</w:t>
      </w:r>
      <w:r>
        <w:rPr>
          <w:rFonts w:hint="eastAsia" w:ascii="仿宋" w:hAnsi="仿宋" w:eastAsia="仿宋" w:cs="仿宋"/>
          <w:b/>
          <w:bCs/>
          <w:color w:val="auto"/>
          <w:sz w:val="24"/>
          <w:highlight w:val="none"/>
        </w:rPr>
        <w:t>无效</w:t>
      </w:r>
      <w:r>
        <w:rPr>
          <w:rFonts w:hint="eastAsia" w:ascii="仿宋" w:hAnsi="仿宋" w:eastAsia="仿宋" w:cs="仿宋"/>
          <w:color w:val="auto"/>
          <w:sz w:val="24"/>
          <w:highlight w:val="none"/>
        </w:rPr>
        <w:t>。</w:t>
      </w:r>
    </w:p>
    <w:p w14:paraId="5DB61C4C">
      <w:pPr>
        <w:spacing w:line="46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 xml:space="preserve">1.6 </w:t>
      </w:r>
      <w:r>
        <w:rPr>
          <w:rFonts w:hint="eastAsia" w:ascii="仿宋" w:hAnsi="仿宋" w:eastAsia="仿宋" w:cs="仿宋"/>
          <w:bCs/>
          <w:color w:val="auto"/>
          <w:sz w:val="24"/>
          <w:highlight w:val="none"/>
        </w:rPr>
        <w:t>在采购活动中，采购人员及相关人员与供应商有下列利害关系之一的，应当回避：</w:t>
      </w:r>
    </w:p>
    <w:p w14:paraId="2E687211">
      <w:pPr>
        <w:spacing w:line="4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1.6.1 参加采购活动前3年内与供应商存在劳动关系。</w:t>
      </w:r>
    </w:p>
    <w:p w14:paraId="77ECC393">
      <w:pPr>
        <w:spacing w:line="4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1.6.2 参加采购活动前3年内担任供应商的董事、监事。</w:t>
      </w:r>
    </w:p>
    <w:p w14:paraId="5117D098">
      <w:pPr>
        <w:spacing w:line="4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1.6.3 参加采购活动前3年内是供应商的控股股东或者实际控制人。</w:t>
      </w:r>
    </w:p>
    <w:p w14:paraId="19AA2A2B">
      <w:pPr>
        <w:spacing w:line="4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1.6.4 与供应商的法定代表人或者负责人有夫妻、直系血亲、三代以内旁系血亲或者近姻亲关系。</w:t>
      </w:r>
    </w:p>
    <w:p w14:paraId="30206A05">
      <w:pPr>
        <w:spacing w:line="4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1.6.5 与供应商有其他可能影响政府采购活动公平、公正进行的关系。</w:t>
      </w:r>
    </w:p>
    <w:p w14:paraId="669016B5">
      <w:pPr>
        <w:spacing w:line="460" w:lineRule="exact"/>
        <w:rPr>
          <w:rFonts w:ascii="仿宋" w:hAnsi="仿宋" w:eastAsia="仿宋" w:cs="仿宋"/>
          <w:color w:val="auto"/>
          <w:sz w:val="24"/>
          <w:highlight w:val="none"/>
        </w:rPr>
      </w:pPr>
      <w:r>
        <w:rPr>
          <w:rFonts w:hint="eastAsia" w:ascii="仿宋" w:hAnsi="仿宋" w:eastAsia="仿宋" w:cs="仿宋"/>
          <w:bCs/>
          <w:color w:val="auto"/>
          <w:sz w:val="24"/>
          <w:highlight w:val="none"/>
        </w:rPr>
        <w:t>1.6.6 供应商认为采购人员及相关人员与其他供应商有利害关系的，可以向采购人书面提出回避申请，并说明理由。采购人应当及时询问被申请回避人员，有利害关系的被申请回避人员应当回避。</w:t>
      </w:r>
    </w:p>
    <w:p w14:paraId="40C4163D">
      <w:pPr>
        <w:spacing w:line="460" w:lineRule="exact"/>
        <w:rPr>
          <w:rFonts w:ascii="仿宋" w:hAnsi="仿宋" w:eastAsia="仿宋" w:cs="仿宋"/>
          <w:b/>
          <w:bCs/>
          <w:color w:val="auto"/>
          <w:sz w:val="24"/>
          <w:highlight w:val="none"/>
        </w:rPr>
      </w:pPr>
      <w:bookmarkStart w:id="19" w:name="_Toc532473451"/>
      <w:bookmarkStart w:id="20" w:name="_Toc5286"/>
      <w:bookmarkStart w:id="21" w:name="_Toc12139"/>
      <w:bookmarkStart w:id="22" w:name="_Toc515647759"/>
      <w:bookmarkStart w:id="23" w:name="_Toc2582265"/>
      <w:r>
        <w:rPr>
          <w:rFonts w:hint="eastAsia" w:ascii="仿宋" w:hAnsi="仿宋" w:eastAsia="仿宋" w:cs="仿宋"/>
          <w:b/>
          <w:bCs/>
          <w:color w:val="auto"/>
          <w:sz w:val="24"/>
          <w:highlight w:val="none"/>
        </w:rPr>
        <w:t>2.资金来源</w:t>
      </w:r>
      <w:bookmarkEnd w:id="19"/>
      <w:bookmarkEnd w:id="20"/>
      <w:bookmarkEnd w:id="21"/>
      <w:bookmarkEnd w:id="22"/>
      <w:bookmarkEnd w:id="23"/>
    </w:p>
    <w:p w14:paraId="3D95FEFF">
      <w:pPr>
        <w:spacing w:line="4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本项目的采购人已获得足以支付本次采购后所签订的合同项下的资金。</w:t>
      </w:r>
    </w:p>
    <w:p w14:paraId="3E645880">
      <w:pPr>
        <w:spacing w:line="460" w:lineRule="exact"/>
        <w:rPr>
          <w:rFonts w:ascii="仿宋" w:hAnsi="仿宋" w:eastAsia="仿宋" w:cs="仿宋"/>
          <w:b/>
          <w:bCs/>
          <w:color w:val="auto"/>
          <w:sz w:val="24"/>
          <w:highlight w:val="none"/>
        </w:rPr>
      </w:pPr>
      <w:bookmarkStart w:id="24" w:name="_Toc15936"/>
      <w:bookmarkStart w:id="25" w:name="_Toc532473452"/>
      <w:bookmarkStart w:id="26" w:name="_Toc515647760"/>
      <w:bookmarkStart w:id="27" w:name="_Toc20526"/>
      <w:bookmarkStart w:id="28" w:name="_Toc520356145"/>
      <w:bookmarkStart w:id="29" w:name="_Toc2582266"/>
      <w:r>
        <w:rPr>
          <w:rFonts w:hint="eastAsia" w:ascii="仿宋" w:hAnsi="仿宋" w:eastAsia="仿宋" w:cs="仿宋"/>
          <w:b/>
          <w:bCs/>
          <w:color w:val="auto"/>
          <w:sz w:val="24"/>
          <w:highlight w:val="none"/>
        </w:rPr>
        <w:t>3.投标费用</w:t>
      </w:r>
      <w:bookmarkEnd w:id="24"/>
      <w:bookmarkEnd w:id="25"/>
      <w:bookmarkEnd w:id="26"/>
      <w:bookmarkEnd w:id="27"/>
      <w:bookmarkEnd w:id="28"/>
      <w:bookmarkEnd w:id="29"/>
    </w:p>
    <w:p w14:paraId="2AA3F481">
      <w:pPr>
        <w:spacing w:line="4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不论结果如何，供应商应承担所有与采购有关的费用。</w:t>
      </w:r>
    </w:p>
    <w:p w14:paraId="6EE7AFB5">
      <w:pPr>
        <w:pStyle w:val="5"/>
        <w:spacing w:before="312" w:beforeLines="100" w:after="156" w:afterLines="50" w:line="440" w:lineRule="exact"/>
        <w:jc w:val="center"/>
        <w:rPr>
          <w:rFonts w:ascii="仿宋" w:hAnsi="仿宋" w:eastAsia="仿宋" w:cs="仿宋"/>
          <w:color w:val="auto"/>
          <w:sz w:val="28"/>
          <w:szCs w:val="28"/>
          <w:highlight w:val="none"/>
        </w:rPr>
      </w:pPr>
      <w:bookmarkStart w:id="30" w:name="_Toc216582806"/>
      <w:bookmarkStart w:id="31" w:name="_Toc515647762"/>
      <w:bookmarkStart w:id="32" w:name="_Toc21566"/>
      <w:bookmarkStart w:id="33" w:name="_Toc31378"/>
      <w:bookmarkStart w:id="34" w:name="_Toc2582268"/>
      <w:bookmarkStart w:id="35" w:name="_Toc520356146"/>
      <w:bookmarkStart w:id="36" w:name="_Toc4365"/>
      <w:bookmarkStart w:id="37" w:name="_Toc532473454"/>
      <w:r>
        <w:rPr>
          <w:rFonts w:hint="eastAsia" w:ascii="仿宋" w:hAnsi="仿宋" w:eastAsia="仿宋" w:cs="仿宋"/>
          <w:color w:val="auto"/>
          <w:sz w:val="28"/>
          <w:szCs w:val="28"/>
          <w:highlight w:val="none"/>
        </w:rPr>
        <w:t>（二）招标文件</w:t>
      </w:r>
      <w:bookmarkEnd w:id="30"/>
      <w:bookmarkEnd w:id="31"/>
      <w:bookmarkEnd w:id="32"/>
      <w:bookmarkEnd w:id="33"/>
      <w:bookmarkEnd w:id="34"/>
      <w:bookmarkEnd w:id="35"/>
      <w:bookmarkEnd w:id="36"/>
      <w:bookmarkEnd w:id="37"/>
    </w:p>
    <w:p w14:paraId="494CB175">
      <w:pPr>
        <w:spacing w:line="460" w:lineRule="exact"/>
        <w:rPr>
          <w:rFonts w:ascii="仿宋" w:hAnsi="仿宋" w:eastAsia="仿宋" w:cs="仿宋"/>
          <w:b/>
          <w:bCs/>
          <w:color w:val="auto"/>
          <w:sz w:val="24"/>
          <w:highlight w:val="none"/>
        </w:rPr>
      </w:pPr>
      <w:bookmarkStart w:id="38" w:name="_Toc2582269"/>
      <w:bookmarkStart w:id="39" w:name="_Toc25743"/>
      <w:bookmarkStart w:id="40" w:name="_Toc515647763"/>
      <w:bookmarkStart w:id="41" w:name="_Toc532473455"/>
      <w:bookmarkStart w:id="42" w:name="_Toc14084"/>
      <w:bookmarkStart w:id="43" w:name="_Toc520356147"/>
      <w:r>
        <w:rPr>
          <w:rFonts w:hint="eastAsia" w:ascii="仿宋" w:hAnsi="仿宋" w:eastAsia="仿宋" w:cs="仿宋"/>
          <w:b/>
          <w:bCs/>
          <w:color w:val="auto"/>
          <w:sz w:val="24"/>
          <w:highlight w:val="none"/>
        </w:rPr>
        <w:t>4.采购文件构成</w:t>
      </w:r>
      <w:bookmarkEnd w:id="38"/>
      <w:bookmarkEnd w:id="39"/>
      <w:bookmarkEnd w:id="40"/>
      <w:bookmarkEnd w:id="41"/>
      <w:bookmarkEnd w:id="42"/>
      <w:bookmarkEnd w:id="43"/>
    </w:p>
    <w:p w14:paraId="1E40B557">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4.1 采购邀请</w:t>
      </w:r>
    </w:p>
    <w:p w14:paraId="33798A4C">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4.2 供应商须知前附表</w:t>
      </w:r>
    </w:p>
    <w:p w14:paraId="58BB4838">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4.3 供应商须知</w:t>
      </w:r>
    </w:p>
    <w:p w14:paraId="23CE788B">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4.4 项目说明和采购需求</w:t>
      </w:r>
    </w:p>
    <w:p w14:paraId="42F32B10">
      <w:pPr>
        <w:pStyle w:val="6"/>
        <w:spacing w:line="460" w:lineRule="exact"/>
        <w:ind w:firstLine="0"/>
        <w:jc w:val="left"/>
        <w:rPr>
          <w:rFonts w:ascii="仿宋" w:hAnsi="仿宋" w:eastAsia="仿宋" w:cs="仿宋"/>
          <w:color w:val="auto"/>
          <w:sz w:val="24"/>
          <w:highlight w:val="none"/>
        </w:rPr>
      </w:pPr>
      <w:r>
        <w:rPr>
          <w:rFonts w:hint="eastAsia" w:ascii="仿宋" w:hAnsi="仿宋" w:eastAsia="仿宋" w:cs="仿宋_GB2312"/>
          <w:color w:val="auto"/>
          <w:sz w:val="24"/>
          <w:highlight w:val="none"/>
        </w:rPr>
        <w:t>4.5 评标方法和标准</w:t>
      </w:r>
    </w:p>
    <w:p w14:paraId="05C7D1FE">
      <w:pPr>
        <w:pStyle w:val="6"/>
        <w:spacing w:line="460" w:lineRule="exact"/>
        <w:ind w:firstLine="0"/>
        <w:rPr>
          <w:rFonts w:ascii="仿宋" w:hAnsi="仿宋" w:eastAsia="仿宋" w:cs="仿宋"/>
          <w:color w:val="auto"/>
          <w:sz w:val="24"/>
          <w:highlight w:val="none"/>
        </w:rPr>
      </w:pPr>
      <w:r>
        <w:rPr>
          <w:rFonts w:hint="eastAsia" w:ascii="仿宋" w:hAnsi="仿宋" w:eastAsia="仿宋" w:cs="仿宋"/>
          <w:color w:val="auto"/>
          <w:sz w:val="24"/>
          <w:highlight w:val="none"/>
        </w:rPr>
        <w:t>4.6 投标文件格式</w:t>
      </w:r>
    </w:p>
    <w:p w14:paraId="5DCFB432">
      <w:pPr>
        <w:pStyle w:val="6"/>
        <w:spacing w:line="460" w:lineRule="exact"/>
        <w:ind w:firstLine="0"/>
        <w:rPr>
          <w:rFonts w:ascii="仿宋" w:hAnsi="仿宋" w:eastAsia="仿宋" w:cs="仿宋"/>
          <w:color w:val="auto"/>
          <w:highlight w:val="none"/>
        </w:rPr>
      </w:pPr>
      <w:bookmarkStart w:id="44" w:name="_Toc520356148"/>
      <w:bookmarkStart w:id="45" w:name="_Toc515904805"/>
      <w:bookmarkStart w:id="46" w:name="_Toc2582270"/>
      <w:bookmarkStart w:id="47" w:name="_Toc532473456"/>
      <w:bookmarkStart w:id="48" w:name="_Toc9232"/>
      <w:bookmarkStart w:id="49" w:name="_Toc26044"/>
      <w:r>
        <w:rPr>
          <w:rFonts w:hint="eastAsia" w:ascii="仿宋" w:hAnsi="仿宋" w:eastAsia="仿宋" w:cs="仿宋"/>
          <w:b/>
          <w:bCs/>
          <w:color w:val="auto"/>
          <w:kern w:val="2"/>
          <w:sz w:val="24"/>
          <w:highlight w:val="none"/>
        </w:rPr>
        <w:t>5.采购文件的澄清</w:t>
      </w:r>
      <w:bookmarkEnd w:id="44"/>
      <w:bookmarkEnd w:id="45"/>
      <w:r>
        <w:rPr>
          <w:rFonts w:hint="eastAsia" w:ascii="仿宋" w:hAnsi="仿宋" w:eastAsia="仿宋" w:cs="仿宋"/>
          <w:b/>
          <w:bCs/>
          <w:color w:val="auto"/>
          <w:kern w:val="2"/>
          <w:sz w:val="24"/>
          <w:highlight w:val="none"/>
        </w:rPr>
        <w:t>与修改</w:t>
      </w:r>
      <w:bookmarkEnd w:id="46"/>
      <w:bookmarkEnd w:id="47"/>
      <w:bookmarkEnd w:id="48"/>
      <w:bookmarkEnd w:id="49"/>
    </w:p>
    <w:p w14:paraId="0440C17A">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5.1 采购人可以对已发出的采购文件等进行必要的澄清或者修改。澄清或者修改的内容为采购文件的组成部分。</w:t>
      </w:r>
    </w:p>
    <w:p w14:paraId="434B1A98">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5.2 采购文件中有不一致的，有澄清的部分以最终的澄清更正内容为准；未澄清的，以供应商须知前附表为准；供应商须知前附表不涉及的内容，以编排在后的最后描述为准。</w:t>
      </w:r>
    </w:p>
    <w:p w14:paraId="334818AE">
      <w:pPr>
        <w:pStyle w:val="6"/>
        <w:spacing w:line="460" w:lineRule="exact"/>
        <w:ind w:firstLine="0"/>
        <w:rPr>
          <w:rFonts w:ascii="仿宋" w:hAnsi="仿宋" w:eastAsia="仿宋" w:cs="仿宋"/>
          <w:color w:val="auto"/>
          <w:highlight w:val="none"/>
        </w:rPr>
      </w:pPr>
      <w:bookmarkStart w:id="50" w:name="_Toc532473457"/>
      <w:bookmarkStart w:id="51" w:name="_Toc14569"/>
      <w:bookmarkStart w:id="52" w:name="_Toc2582271"/>
      <w:bookmarkStart w:id="53" w:name="_Toc25635"/>
      <w:r>
        <w:rPr>
          <w:rFonts w:hint="eastAsia" w:ascii="仿宋" w:hAnsi="仿宋" w:eastAsia="仿宋" w:cs="仿宋"/>
          <w:b/>
          <w:bCs/>
          <w:color w:val="auto"/>
          <w:kern w:val="2"/>
          <w:sz w:val="24"/>
          <w:highlight w:val="none"/>
        </w:rPr>
        <w:t>6.响应截止时间的顺延</w:t>
      </w:r>
      <w:bookmarkEnd w:id="50"/>
      <w:bookmarkEnd w:id="51"/>
      <w:bookmarkEnd w:id="52"/>
      <w:bookmarkEnd w:id="53"/>
    </w:p>
    <w:p w14:paraId="6FE78E6B">
      <w:pPr>
        <w:spacing w:line="4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为使供应商有足够的时间对采购文件的澄清或者修改部分进行研究而准备或因其他原因，采购人将依法决定是否顺延响应截止时间。</w:t>
      </w:r>
    </w:p>
    <w:p w14:paraId="214F9C74">
      <w:pPr>
        <w:pStyle w:val="6"/>
        <w:spacing w:line="460" w:lineRule="exact"/>
        <w:ind w:firstLine="0"/>
        <w:rPr>
          <w:rFonts w:ascii="仿宋" w:hAnsi="仿宋" w:eastAsia="仿宋" w:cs="仿宋"/>
          <w:b/>
          <w:bCs/>
          <w:color w:val="auto"/>
          <w:sz w:val="24"/>
          <w:highlight w:val="none"/>
        </w:rPr>
      </w:pPr>
      <w:r>
        <w:rPr>
          <w:rFonts w:hint="eastAsia" w:ascii="仿宋" w:hAnsi="仿宋" w:eastAsia="仿宋" w:cs="仿宋"/>
          <w:b/>
          <w:bCs/>
          <w:color w:val="auto"/>
          <w:kern w:val="2"/>
          <w:sz w:val="24"/>
          <w:highlight w:val="none"/>
        </w:rPr>
        <w:t>7.其他事项</w:t>
      </w:r>
    </w:p>
    <w:p w14:paraId="0631D21B">
      <w:pPr>
        <w:spacing w:line="4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供应商应认真阅读采购文件所有的事项、格式、条款和技术规范等。如供应商没有按照采购文件要求提交全部资料，或者投标文件没有对采购文件的实质性要求做出响应，其响应将被认定为响应</w:t>
      </w:r>
      <w:r>
        <w:rPr>
          <w:rFonts w:hint="eastAsia" w:ascii="仿宋" w:hAnsi="仿宋" w:eastAsia="仿宋" w:cs="仿宋"/>
          <w:b/>
          <w:bCs/>
          <w:color w:val="auto"/>
          <w:sz w:val="24"/>
          <w:highlight w:val="none"/>
        </w:rPr>
        <w:t>无效</w:t>
      </w:r>
      <w:r>
        <w:rPr>
          <w:rFonts w:hint="eastAsia" w:ascii="仿宋" w:hAnsi="仿宋" w:eastAsia="仿宋" w:cs="仿宋"/>
          <w:color w:val="auto"/>
          <w:sz w:val="24"/>
          <w:highlight w:val="none"/>
        </w:rPr>
        <w:t>。</w:t>
      </w:r>
    </w:p>
    <w:p w14:paraId="4055FF9E">
      <w:pPr>
        <w:pStyle w:val="5"/>
        <w:tabs>
          <w:tab w:val="left" w:pos="900"/>
        </w:tabs>
        <w:spacing w:before="312" w:beforeLines="100" w:after="156" w:afterLines="50" w:line="440" w:lineRule="exact"/>
        <w:jc w:val="center"/>
        <w:rPr>
          <w:rFonts w:ascii="仿宋" w:hAnsi="仿宋" w:eastAsia="仿宋" w:cs="仿宋"/>
          <w:color w:val="auto"/>
          <w:sz w:val="28"/>
          <w:szCs w:val="28"/>
          <w:highlight w:val="none"/>
        </w:rPr>
      </w:pPr>
      <w:bookmarkStart w:id="54" w:name="_Toc516367020"/>
      <w:bookmarkStart w:id="55" w:name="_Toc7636"/>
      <w:bookmarkStart w:id="56" w:name="_Toc515647766"/>
      <w:bookmarkStart w:id="57" w:name="_Toc2582272"/>
      <w:bookmarkStart w:id="58" w:name="_Toc532473458"/>
      <w:bookmarkStart w:id="59" w:name="_Toc520356150"/>
      <w:bookmarkStart w:id="60" w:name="_Toc216582807"/>
      <w:bookmarkStart w:id="61" w:name="_Toc9551"/>
      <w:bookmarkStart w:id="62" w:name="_Toc30808"/>
      <w:r>
        <w:rPr>
          <w:rFonts w:hint="eastAsia" w:ascii="仿宋" w:hAnsi="仿宋" w:eastAsia="仿宋" w:cs="仿宋"/>
          <w:color w:val="auto"/>
          <w:sz w:val="28"/>
          <w:szCs w:val="28"/>
          <w:highlight w:val="none"/>
        </w:rPr>
        <w:t>（三）</w:t>
      </w:r>
      <w:bookmarkEnd w:id="54"/>
      <w:r>
        <w:rPr>
          <w:rFonts w:hint="eastAsia" w:ascii="仿宋" w:hAnsi="仿宋" w:eastAsia="仿宋" w:cs="仿宋"/>
          <w:color w:val="auto"/>
          <w:sz w:val="28"/>
          <w:szCs w:val="28"/>
          <w:highlight w:val="none"/>
        </w:rPr>
        <w:t>投标文件的编制</w:t>
      </w:r>
      <w:bookmarkEnd w:id="55"/>
      <w:bookmarkEnd w:id="56"/>
      <w:bookmarkEnd w:id="57"/>
      <w:bookmarkEnd w:id="58"/>
      <w:bookmarkEnd w:id="59"/>
      <w:bookmarkEnd w:id="60"/>
      <w:bookmarkEnd w:id="61"/>
      <w:bookmarkEnd w:id="62"/>
    </w:p>
    <w:p w14:paraId="3E3C37E0">
      <w:pPr>
        <w:pStyle w:val="6"/>
        <w:spacing w:line="460" w:lineRule="exact"/>
        <w:ind w:firstLine="0"/>
        <w:rPr>
          <w:rFonts w:ascii="仿宋" w:hAnsi="仿宋" w:eastAsia="仿宋" w:cs="仿宋"/>
          <w:color w:val="auto"/>
          <w:highlight w:val="none"/>
        </w:rPr>
      </w:pPr>
      <w:bookmarkStart w:id="63" w:name="_Toc3553"/>
      <w:bookmarkStart w:id="64" w:name="_Toc515647767"/>
      <w:bookmarkStart w:id="65" w:name="_Toc532473459"/>
      <w:bookmarkStart w:id="66" w:name="_Toc516367021"/>
      <w:bookmarkStart w:id="67" w:name="_Toc2582273"/>
      <w:bookmarkStart w:id="68" w:name="_Toc520356151"/>
      <w:bookmarkStart w:id="69" w:name="_Toc7786"/>
      <w:r>
        <w:rPr>
          <w:rFonts w:hint="eastAsia" w:ascii="仿宋" w:hAnsi="仿宋" w:eastAsia="仿宋" w:cs="仿宋"/>
          <w:b/>
          <w:bCs/>
          <w:color w:val="auto"/>
          <w:kern w:val="2"/>
          <w:sz w:val="24"/>
          <w:highlight w:val="none"/>
        </w:rPr>
        <w:t>8.</w:t>
      </w:r>
      <w:bookmarkEnd w:id="63"/>
      <w:bookmarkEnd w:id="64"/>
      <w:bookmarkEnd w:id="65"/>
      <w:bookmarkEnd w:id="66"/>
      <w:bookmarkEnd w:id="67"/>
      <w:bookmarkEnd w:id="68"/>
      <w:bookmarkEnd w:id="69"/>
      <w:r>
        <w:rPr>
          <w:rFonts w:hint="eastAsia" w:ascii="仿宋" w:hAnsi="仿宋" w:eastAsia="仿宋" w:cs="仿宋"/>
          <w:b/>
          <w:bCs/>
          <w:color w:val="auto"/>
          <w:kern w:val="2"/>
          <w:sz w:val="24"/>
          <w:highlight w:val="none"/>
        </w:rPr>
        <w:t>响应范围及文字、计量单位要求</w:t>
      </w:r>
    </w:p>
    <w:p w14:paraId="2738604C">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8.1 供应商应当对采购文件中所列的所有内容进行投标，如仅响应部分内容，其响应将被认定为响应</w:t>
      </w:r>
      <w:r>
        <w:rPr>
          <w:rFonts w:hint="eastAsia" w:ascii="仿宋" w:hAnsi="仿宋" w:eastAsia="仿宋" w:cs="仿宋"/>
          <w:b/>
          <w:bCs/>
          <w:color w:val="auto"/>
          <w:sz w:val="24"/>
          <w:highlight w:val="none"/>
        </w:rPr>
        <w:t>无效</w:t>
      </w:r>
      <w:r>
        <w:rPr>
          <w:rFonts w:hint="eastAsia" w:ascii="仿宋" w:hAnsi="仿宋" w:eastAsia="仿宋" w:cs="仿宋"/>
          <w:color w:val="auto"/>
          <w:sz w:val="24"/>
          <w:highlight w:val="none"/>
        </w:rPr>
        <w:t>。</w:t>
      </w:r>
    </w:p>
    <w:p w14:paraId="38D307DF">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8.2 无论采购文件中是否要求，供应商所投服务及伴随的货物和工程均应符合国家强制性标准。</w:t>
      </w:r>
    </w:p>
    <w:p w14:paraId="12E1BBB3">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8.3 投标文件应使用规范汉字书写(专有名词须加注中文解释)，并采用通用的图形符号，不得出现与常规书写格式不符的内容。</w:t>
      </w:r>
    </w:p>
    <w:p w14:paraId="78EA72A7">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8.4 除采购文件中有特殊要求外，投标文件中所使用的计量单位，应采用中华人民共和国法定计量单位。</w:t>
      </w:r>
    </w:p>
    <w:p w14:paraId="553D6C73">
      <w:pPr>
        <w:pStyle w:val="6"/>
        <w:spacing w:line="460" w:lineRule="exact"/>
        <w:ind w:firstLine="0"/>
        <w:rPr>
          <w:rFonts w:ascii="仿宋" w:hAnsi="仿宋" w:eastAsia="仿宋" w:cs="仿宋"/>
          <w:color w:val="auto"/>
          <w:highlight w:val="none"/>
        </w:rPr>
      </w:pPr>
      <w:bookmarkStart w:id="70" w:name="_Ref467306676"/>
      <w:bookmarkStart w:id="71" w:name="_Toc516367022"/>
      <w:bookmarkStart w:id="72" w:name="_Ref467306195"/>
      <w:bookmarkStart w:id="73" w:name="_Toc520356152"/>
      <w:bookmarkStart w:id="74" w:name="_Toc515647768"/>
      <w:bookmarkStart w:id="75" w:name="_Toc2582274"/>
      <w:bookmarkStart w:id="76" w:name="_Toc10364"/>
      <w:bookmarkStart w:id="77" w:name="_Toc532473460"/>
      <w:bookmarkStart w:id="78" w:name="_Toc28307"/>
      <w:r>
        <w:rPr>
          <w:rFonts w:hint="eastAsia" w:ascii="仿宋" w:hAnsi="仿宋" w:eastAsia="仿宋" w:cs="仿宋"/>
          <w:b/>
          <w:bCs/>
          <w:color w:val="auto"/>
          <w:kern w:val="2"/>
          <w:sz w:val="24"/>
          <w:highlight w:val="none"/>
        </w:rPr>
        <w:t>9.</w:t>
      </w:r>
      <w:bookmarkEnd w:id="70"/>
      <w:bookmarkEnd w:id="71"/>
      <w:bookmarkEnd w:id="72"/>
      <w:r>
        <w:rPr>
          <w:rFonts w:hint="eastAsia" w:ascii="仿宋" w:hAnsi="仿宋" w:eastAsia="仿宋" w:cs="仿宋"/>
          <w:b/>
          <w:bCs/>
          <w:color w:val="auto"/>
          <w:kern w:val="2"/>
          <w:sz w:val="24"/>
          <w:highlight w:val="none"/>
        </w:rPr>
        <w:t>投标文件的组成</w:t>
      </w:r>
      <w:bookmarkEnd w:id="73"/>
      <w:bookmarkEnd w:id="74"/>
      <w:bookmarkEnd w:id="75"/>
      <w:bookmarkEnd w:id="76"/>
      <w:bookmarkEnd w:id="77"/>
      <w:bookmarkEnd w:id="78"/>
    </w:p>
    <w:p w14:paraId="30765451">
      <w:pPr>
        <w:tabs>
          <w:tab w:val="left" w:pos="900"/>
          <w:tab w:val="left" w:pos="5580"/>
        </w:tabs>
        <w:spacing w:line="460" w:lineRule="exact"/>
        <w:ind w:firstLine="480" w:firstLineChars="200"/>
        <w:rPr>
          <w:rFonts w:ascii="仿宋" w:hAnsi="仿宋" w:eastAsia="仿宋" w:cs="仿宋"/>
          <w:color w:val="auto"/>
          <w:sz w:val="24"/>
          <w:highlight w:val="none"/>
        </w:rPr>
      </w:pPr>
      <w:bookmarkStart w:id="79" w:name="_Ref467052588"/>
      <w:r>
        <w:rPr>
          <w:rFonts w:hint="eastAsia" w:ascii="仿宋" w:hAnsi="仿宋" w:eastAsia="仿宋" w:cs="仿宋"/>
          <w:color w:val="auto"/>
          <w:sz w:val="24"/>
          <w:highlight w:val="none"/>
        </w:rPr>
        <w:t>供应商应完整地按照采购文件提供的投标文件格式及要求编写投标文件，对其投标文件的真实性与准确性负责，中标后，其投标文件将作为合同的组成部分。</w:t>
      </w:r>
    </w:p>
    <w:bookmarkEnd w:id="79"/>
    <w:p w14:paraId="468D676A">
      <w:pPr>
        <w:pStyle w:val="6"/>
        <w:spacing w:line="460" w:lineRule="exact"/>
        <w:ind w:firstLine="0"/>
        <w:rPr>
          <w:rFonts w:ascii="仿宋" w:hAnsi="仿宋" w:eastAsia="仿宋" w:cs="仿宋"/>
          <w:color w:val="auto"/>
          <w:highlight w:val="none"/>
        </w:rPr>
      </w:pPr>
      <w:bookmarkStart w:id="80" w:name="_Toc516367023"/>
      <w:bookmarkStart w:id="81" w:name="_Toc10379"/>
      <w:bookmarkStart w:id="82" w:name="_Toc520356153"/>
      <w:bookmarkStart w:id="83" w:name="_Toc532473461"/>
      <w:bookmarkStart w:id="84" w:name="_Toc4601"/>
      <w:bookmarkStart w:id="85" w:name="_Toc515647769"/>
      <w:bookmarkStart w:id="86" w:name="_Toc2582275"/>
      <w:r>
        <w:rPr>
          <w:rFonts w:hint="eastAsia" w:ascii="仿宋" w:hAnsi="仿宋" w:eastAsia="仿宋" w:cs="仿宋"/>
          <w:b/>
          <w:bCs/>
          <w:color w:val="auto"/>
          <w:kern w:val="2"/>
          <w:sz w:val="24"/>
          <w:highlight w:val="none"/>
        </w:rPr>
        <w:t>10.证明响应标的的合格性和符合采购文件规定的技术文件</w:t>
      </w:r>
      <w:bookmarkEnd w:id="80"/>
      <w:bookmarkEnd w:id="81"/>
      <w:bookmarkEnd w:id="82"/>
      <w:bookmarkEnd w:id="83"/>
      <w:bookmarkEnd w:id="84"/>
      <w:bookmarkEnd w:id="85"/>
      <w:bookmarkEnd w:id="86"/>
    </w:p>
    <w:p w14:paraId="39C52BFE">
      <w:pPr>
        <w:tabs>
          <w:tab w:val="left" w:pos="900"/>
          <w:tab w:val="left" w:pos="5580"/>
        </w:tabs>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10.1 供应商应提交证明文件，证明其响应标的符合采购文件规定。该证明文件是投标文件的技术文件。</w:t>
      </w:r>
    </w:p>
    <w:p w14:paraId="5C358AFC">
      <w:pPr>
        <w:spacing w:line="460" w:lineRule="exact"/>
        <w:ind w:left="900" w:hanging="900" w:hangingChars="375"/>
        <w:rPr>
          <w:rFonts w:ascii="仿宋" w:hAnsi="仿宋" w:eastAsia="仿宋" w:cs="仿宋"/>
          <w:color w:val="auto"/>
          <w:sz w:val="24"/>
          <w:highlight w:val="none"/>
        </w:rPr>
      </w:pPr>
      <w:bookmarkStart w:id="87" w:name="_Ref467306244"/>
      <w:r>
        <w:rPr>
          <w:rFonts w:hint="eastAsia" w:ascii="仿宋" w:hAnsi="仿宋" w:eastAsia="仿宋" w:cs="仿宋"/>
          <w:color w:val="auto"/>
          <w:sz w:val="24"/>
          <w:highlight w:val="none"/>
        </w:rPr>
        <w:t>10.2 上款所述的证明文件，可以是文字资料、图纸和数据</w:t>
      </w:r>
      <w:bookmarkEnd w:id="87"/>
      <w:r>
        <w:rPr>
          <w:rFonts w:hint="eastAsia" w:ascii="仿宋" w:hAnsi="仿宋" w:eastAsia="仿宋" w:cs="仿宋"/>
          <w:color w:val="auto"/>
          <w:sz w:val="24"/>
          <w:highlight w:val="none"/>
        </w:rPr>
        <w:t>。</w:t>
      </w:r>
    </w:p>
    <w:p w14:paraId="0D21CBFA">
      <w:pPr>
        <w:spacing w:line="460" w:lineRule="exact"/>
        <w:ind w:left="900" w:hanging="900" w:hangingChars="375"/>
        <w:rPr>
          <w:rFonts w:ascii="仿宋" w:hAnsi="仿宋" w:eastAsia="仿宋" w:cs="仿宋"/>
          <w:color w:val="auto"/>
          <w:sz w:val="24"/>
          <w:highlight w:val="none"/>
        </w:rPr>
      </w:pPr>
      <w:r>
        <w:rPr>
          <w:rFonts w:hint="eastAsia" w:ascii="仿宋" w:hAnsi="仿宋" w:eastAsia="仿宋" w:cs="仿宋"/>
          <w:color w:val="auto"/>
          <w:sz w:val="24"/>
          <w:highlight w:val="none"/>
        </w:rPr>
        <w:t>10.3 本条所指证明文件不包括对采购文件相关部分的文字、图标的复制。</w:t>
      </w:r>
    </w:p>
    <w:p w14:paraId="649AF4E8">
      <w:pPr>
        <w:pStyle w:val="6"/>
        <w:spacing w:line="460" w:lineRule="exact"/>
        <w:ind w:firstLine="0"/>
        <w:rPr>
          <w:rFonts w:ascii="仿宋" w:hAnsi="仿宋" w:eastAsia="仿宋" w:cs="仿宋"/>
          <w:color w:val="auto"/>
          <w:highlight w:val="none"/>
        </w:rPr>
      </w:pPr>
      <w:bookmarkStart w:id="88" w:name="_Toc2582276"/>
      <w:bookmarkStart w:id="89" w:name="_Toc23231"/>
      <w:bookmarkStart w:id="90" w:name="_Toc515647770"/>
      <w:bookmarkStart w:id="91" w:name="_Toc532473462"/>
      <w:bookmarkStart w:id="92" w:name="_Toc520356155"/>
      <w:bookmarkStart w:id="93" w:name="_Toc2248"/>
      <w:r>
        <w:rPr>
          <w:rFonts w:hint="eastAsia" w:ascii="仿宋" w:hAnsi="仿宋" w:eastAsia="仿宋" w:cs="仿宋"/>
          <w:b/>
          <w:bCs/>
          <w:color w:val="auto"/>
          <w:kern w:val="2"/>
          <w:sz w:val="24"/>
          <w:highlight w:val="none"/>
        </w:rPr>
        <w:t>11.投标报价</w:t>
      </w:r>
      <w:bookmarkEnd w:id="88"/>
      <w:bookmarkEnd w:id="89"/>
      <w:bookmarkEnd w:id="90"/>
      <w:bookmarkEnd w:id="91"/>
      <w:bookmarkEnd w:id="92"/>
      <w:bookmarkEnd w:id="93"/>
    </w:p>
    <w:p w14:paraId="27B2663D">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11.1 供应商的报价应当包括满足本次采购全部采购需求所应提供的服务，以及伴随的货物和工程。所有响应均应以人民币报价。</w:t>
      </w:r>
    </w:p>
    <w:p w14:paraId="0208F29A">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11.2 供应商应在价格明细表上标明响应服务及相关货物、工程（如适用）和总价，并由法定代表人或其授权代表签署。</w:t>
      </w:r>
    </w:p>
    <w:p w14:paraId="2C4FB984">
      <w:pPr>
        <w:pStyle w:val="6"/>
        <w:spacing w:line="460" w:lineRule="exact"/>
        <w:ind w:firstLine="0"/>
        <w:rPr>
          <w:rFonts w:ascii="仿宋" w:hAnsi="仿宋" w:eastAsia="仿宋" w:cs="仿宋"/>
          <w:b/>
          <w:bCs/>
          <w:color w:val="auto"/>
          <w:sz w:val="24"/>
          <w:highlight w:val="none"/>
        </w:rPr>
      </w:pPr>
      <w:bookmarkStart w:id="94" w:name="_Toc32569"/>
      <w:bookmarkStart w:id="95" w:name="_Toc2582278"/>
      <w:bookmarkStart w:id="96" w:name="_Toc23590"/>
      <w:bookmarkStart w:id="97" w:name="_Toc532473464"/>
      <w:bookmarkStart w:id="98" w:name="_Toc520356157"/>
      <w:bookmarkStart w:id="99" w:name="_Toc515647772"/>
      <w:r>
        <w:rPr>
          <w:rFonts w:hint="eastAsia" w:ascii="仿宋" w:hAnsi="仿宋" w:eastAsia="仿宋" w:cs="仿宋"/>
          <w:b/>
          <w:bCs/>
          <w:color w:val="auto"/>
          <w:kern w:val="2"/>
          <w:sz w:val="24"/>
          <w:highlight w:val="none"/>
        </w:rPr>
        <w:t>12.响应有效期</w:t>
      </w:r>
      <w:bookmarkEnd w:id="94"/>
      <w:bookmarkEnd w:id="95"/>
      <w:bookmarkEnd w:id="96"/>
      <w:bookmarkEnd w:id="97"/>
      <w:bookmarkEnd w:id="98"/>
      <w:bookmarkEnd w:id="99"/>
    </w:p>
    <w:p w14:paraId="098CBFF2">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12.1 响应应在供应商须知前附表中规定时间内保持有效。响应有效期不满足要求的响应，其响应将被认定为响应无效。</w:t>
      </w:r>
    </w:p>
    <w:p w14:paraId="77AC59DD">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12.2 因特殊原因，采购人可在原响应有效期截止之前，要求供应商延长投标文件的有效期。供应商也可以拒绝延长响应有效期的要求，且不承担任何责任。</w:t>
      </w:r>
    </w:p>
    <w:p w14:paraId="2A0060E8">
      <w:pPr>
        <w:pStyle w:val="6"/>
        <w:spacing w:line="460" w:lineRule="exact"/>
        <w:ind w:firstLine="0"/>
        <w:rPr>
          <w:rFonts w:ascii="仿宋" w:hAnsi="仿宋" w:eastAsia="仿宋" w:cs="仿宋"/>
          <w:b/>
          <w:bCs/>
          <w:color w:val="auto"/>
          <w:sz w:val="24"/>
          <w:highlight w:val="none"/>
        </w:rPr>
      </w:pPr>
      <w:bookmarkStart w:id="100" w:name="_Toc493"/>
      <w:bookmarkStart w:id="101" w:name="_Toc17074"/>
      <w:bookmarkStart w:id="102" w:name="_Toc515647773"/>
      <w:bookmarkStart w:id="103" w:name="_Toc520356158"/>
      <w:bookmarkStart w:id="104" w:name="_Toc532473465"/>
      <w:bookmarkStart w:id="105" w:name="_Toc2582279"/>
      <w:r>
        <w:rPr>
          <w:rFonts w:hint="eastAsia" w:ascii="仿宋" w:hAnsi="仿宋" w:eastAsia="仿宋" w:cs="仿宋"/>
          <w:b/>
          <w:bCs/>
          <w:color w:val="auto"/>
          <w:kern w:val="2"/>
          <w:sz w:val="24"/>
          <w:highlight w:val="none"/>
        </w:rPr>
        <w:t>13.投标文件的</w:t>
      </w:r>
      <w:bookmarkEnd w:id="100"/>
      <w:bookmarkEnd w:id="101"/>
      <w:bookmarkEnd w:id="102"/>
      <w:bookmarkEnd w:id="103"/>
      <w:bookmarkEnd w:id="104"/>
      <w:r>
        <w:rPr>
          <w:rFonts w:hint="eastAsia" w:ascii="仿宋" w:hAnsi="仿宋" w:eastAsia="仿宋" w:cs="仿宋"/>
          <w:b/>
          <w:bCs/>
          <w:color w:val="auto"/>
          <w:kern w:val="2"/>
          <w:sz w:val="24"/>
          <w:highlight w:val="none"/>
        </w:rPr>
        <w:t>制作</w:t>
      </w:r>
      <w:bookmarkEnd w:id="105"/>
    </w:p>
    <w:p w14:paraId="6B92743A">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13.1 供应商应按供应商须知前附表中的规定，准备和递交投标文件。</w:t>
      </w:r>
    </w:p>
    <w:p w14:paraId="6C81CE01">
      <w:pPr>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13.2 投标文件需由供应商的法定代表人或经其正式委托代理人按采购文件规定在投标文件上签字并加盖公章。委托代理人须持有书面的“法定代表人授权委托书”，并将其附在投标文件中。未按采购文件要求签署和盖章的投标文件，其响应将被认定为响应无效。</w:t>
      </w:r>
    </w:p>
    <w:p w14:paraId="4AC8DCCC">
      <w:pPr>
        <w:pStyle w:val="5"/>
        <w:spacing w:before="312" w:beforeLines="100" w:after="156" w:afterLines="50" w:line="440" w:lineRule="exact"/>
        <w:jc w:val="center"/>
        <w:rPr>
          <w:rFonts w:ascii="仿宋" w:hAnsi="仿宋" w:eastAsia="仿宋" w:cs="仿宋"/>
          <w:color w:val="auto"/>
          <w:sz w:val="28"/>
          <w:szCs w:val="28"/>
          <w:highlight w:val="none"/>
        </w:rPr>
      </w:pPr>
      <w:bookmarkStart w:id="106" w:name="_Toc520356159"/>
      <w:bookmarkStart w:id="107" w:name="_Toc9319"/>
      <w:bookmarkStart w:id="108" w:name="_Toc16865"/>
      <w:bookmarkStart w:id="109" w:name="_Toc11179"/>
      <w:bookmarkStart w:id="110" w:name="_Toc532473466"/>
      <w:bookmarkStart w:id="111" w:name="_Toc216582808"/>
      <w:bookmarkStart w:id="112" w:name="_Toc515647774"/>
      <w:bookmarkStart w:id="113" w:name="_Toc2582280"/>
      <w:r>
        <w:rPr>
          <w:rFonts w:hint="eastAsia" w:ascii="仿宋" w:hAnsi="仿宋" w:eastAsia="仿宋" w:cs="仿宋"/>
          <w:color w:val="auto"/>
          <w:sz w:val="28"/>
          <w:szCs w:val="28"/>
          <w:highlight w:val="none"/>
        </w:rPr>
        <w:t>（四）投标文件的递交</w:t>
      </w:r>
      <w:bookmarkEnd w:id="106"/>
      <w:bookmarkEnd w:id="107"/>
      <w:bookmarkEnd w:id="108"/>
      <w:bookmarkEnd w:id="109"/>
      <w:bookmarkEnd w:id="110"/>
      <w:bookmarkEnd w:id="111"/>
      <w:bookmarkEnd w:id="112"/>
      <w:bookmarkEnd w:id="113"/>
    </w:p>
    <w:p w14:paraId="16CB4F42">
      <w:pPr>
        <w:pStyle w:val="6"/>
        <w:spacing w:line="460" w:lineRule="exact"/>
        <w:ind w:firstLine="0"/>
        <w:rPr>
          <w:rFonts w:ascii="仿宋" w:hAnsi="仿宋" w:eastAsia="仿宋" w:cs="仿宋"/>
          <w:color w:val="auto"/>
          <w:highlight w:val="none"/>
        </w:rPr>
      </w:pPr>
      <w:bookmarkStart w:id="114" w:name="_Toc520356160"/>
      <w:bookmarkStart w:id="115" w:name="_Toc32337"/>
      <w:bookmarkStart w:id="116" w:name="_Toc532473467"/>
      <w:bookmarkStart w:id="117" w:name="_Toc21645"/>
      <w:bookmarkStart w:id="118" w:name="_Toc2582281"/>
      <w:bookmarkStart w:id="119" w:name="_Toc515647775"/>
      <w:r>
        <w:rPr>
          <w:rFonts w:hint="eastAsia" w:ascii="仿宋" w:hAnsi="仿宋" w:eastAsia="仿宋" w:cs="仿宋"/>
          <w:b/>
          <w:bCs/>
          <w:color w:val="auto"/>
          <w:kern w:val="2"/>
          <w:sz w:val="24"/>
          <w:highlight w:val="none"/>
        </w:rPr>
        <w:t>14.投标文件的密封和标记</w:t>
      </w:r>
      <w:bookmarkEnd w:id="114"/>
      <w:bookmarkEnd w:id="115"/>
      <w:bookmarkEnd w:id="116"/>
      <w:bookmarkEnd w:id="117"/>
      <w:bookmarkEnd w:id="118"/>
      <w:bookmarkEnd w:id="119"/>
    </w:p>
    <w:p w14:paraId="10AC65F4">
      <w:pPr>
        <w:widowControl/>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投标文件的制作应按照采购文件的要求进行制作并递交</w:t>
      </w:r>
    </w:p>
    <w:p w14:paraId="40D0065A">
      <w:pPr>
        <w:pStyle w:val="6"/>
        <w:spacing w:line="460" w:lineRule="exact"/>
        <w:ind w:firstLine="0"/>
        <w:rPr>
          <w:rFonts w:ascii="仿宋" w:hAnsi="仿宋" w:eastAsia="仿宋" w:cs="仿宋"/>
          <w:color w:val="auto"/>
          <w:highlight w:val="none"/>
        </w:rPr>
      </w:pPr>
      <w:bookmarkStart w:id="120" w:name="_Toc12751"/>
      <w:bookmarkStart w:id="121" w:name="_Toc515647776"/>
      <w:bookmarkStart w:id="122" w:name="_Toc532473468"/>
      <w:bookmarkStart w:id="123" w:name="_Toc2582282"/>
      <w:bookmarkStart w:id="124" w:name="_Toc9840"/>
      <w:bookmarkStart w:id="125" w:name="_Toc520356161"/>
      <w:r>
        <w:rPr>
          <w:rFonts w:hint="eastAsia" w:ascii="仿宋" w:hAnsi="仿宋" w:eastAsia="仿宋" w:cs="仿宋"/>
          <w:b/>
          <w:bCs/>
          <w:color w:val="auto"/>
          <w:kern w:val="2"/>
          <w:sz w:val="24"/>
          <w:highlight w:val="none"/>
        </w:rPr>
        <w:t>15.响应截止</w:t>
      </w:r>
      <w:bookmarkEnd w:id="120"/>
      <w:bookmarkEnd w:id="121"/>
      <w:bookmarkEnd w:id="122"/>
      <w:bookmarkEnd w:id="123"/>
      <w:bookmarkEnd w:id="124"/>
      <w:bookmarkEnd w:id="125"/>
    </w:p>
    <w:p w14:paraId="079073D4">
      <w:pPr>
        <w:widowControl/>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15.1 供应商应在</w:t>
      </w:r>
      <w:r>
        <w:rPr>
          <w:rFonts w:hint="eastAsia" w:ascii="仿宋" w:hAnsi="仿宋" w:eastAsia="仿宋" w:cs="仿宋"/>
          <w:color w:val="auto"/>
          <w:sz w:val="24"/>
          <w:highlight w:val="none"/>
          <w:u w:val="single"/>
        </w:rPr>
        <w:t>供应商须知前附表</w:t>
      </w:r>
      <w:r>
        <w:rPr>
          <w:rFonts w:hint="eastAsia" w:ascii="仿宋" w:hAnsi="仿宋" w:eastAsia="仿宋" w:cs="仿宋"/>
          <w:color w:val="auto"/>
          <w:sz w:val="24"/>
          <w:highlight w:val="none"/>
        </w:rPr>
        <w:t>中规定的截止时间前，将投标文件递交到采购公告中规定的地点。</w:t>
      </w:r>
    </w:p>
    <w:p w14:paraId="4BB84A48">
      <w:pPr>
        <w:widowControl/>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15.2 采购人将拒绝接收在响应截止时间后送达投标文件。</w:t>
      </w:r>
    </w:p>
    <w:p w14:paraId="780683D2">
      <w:pPr>
        <w:pStyle w:val="6"/>
        <w:spacing w:line="460" w:lineRule="exact"/>
        <w:ind w:firstLine="0"/>
        <w:rPr>
          <w:rFonts w:ascii="仿宋" w:hAnsi="仿宋" w:eastAsia="仿宋" w:cs="仿宋"/>
          <w:color w:val="auto"/>
          <w:highlight w:val="none"/>
        </w:rPr>
      </w:pPr>
      <w:bookmarkStart w:id="126" w:name="_Toc24275"/>
      <w:bookmarkStart w:id="127" w:name="_Toc18537"/>
      <w:bookmarkStart w:id="128" w:name="_Toc520356162"/>
      <w:bookmarkStart w:id="129" w:name="_Toc2582283"/>
      <w:bookmarkStart w:id="130" w:name="_Toc532473469"/>
      <w:bookmarkStart w:id="131" w:name="_Toc515647777"/>
      <w:r>
        <w:rPr>
          <w:rFonts w:hint="eastAsia" w:ascii="仿宋" w:hAnsi="仿宋" w:eastAsia="仿宋" w:cs="仿宋"/>
          <w:b/>
          <w:bCs/>
          <w:color w:val="auto"/>
          <w:kern w:val="2"/>
          <w:sz w:val="24"/>
          <w:highlight w:val="none"/>
        </w:rPr>
        <w:t>16.投标文件的接收、修改与撤回</w:t>
      </w:r>
      <w:bookmarkEnd w:id="126"/>
      <w:bookmarkEnd w:id="127"/>
      <w:bookmarkEnd w:id="128"/>
      <w:bookmarkEnd w:id="129"/>
      <w:bookmarkEnd w:id="130"/>
      <w:bookmarkEnd w:id="131"/>
    </w:p>
    <w:p w14:paraId="2CFBFD0F">
      <w:pPr>
        <w:widowControl/>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16.1 采购人将按采购文件规定的时间和地点接收投标文件。</w:t>
      </w:r>
    </w:p>
    <w:p w14:paraId="5A280655">
      <w:pPr>
        <w:widowControl/>
        <w:spacing w:line="460" w:lineRule="exact"/>
        <w:rPr>
          <w:rFonts w:ascii="仿宋" w:hAnsi="仿宋" w:eastAsia="仿宋" w:cs="仿宋"/>
          <w:color w:val="auto"/>
          <w:sz w:val="24"/>
          <w:highlight w:val="none"/>
        </w:rPr>
      </w:pPr>
      <w:r>
        <w:rPr>
          <w:rFonts w:hint="eastAsia" w:ascii="仿宋" w:hAnsi="仿宋" w:eastAsia="仿宋" w:cs="仿宋"/>
          <w:color w:val="auto"/>
          <w:sz w:val="24"/>
          <w:highlight w:val="none"/>
        </w:rPr>
        <w:t>16.2 递交投标文件以后，如果供应商要进行修改，须在响应截止时间前提出申请，供应商对投标文件的修改申请应按本须知规定编制、签署、密封。采购人将予以接收，并视为投标文件的组成部分。递交投标文件以后，如果供应商要进行撤回的，须在响应截止时间前提出申请，采购人将予以接受。</w:t>
      </w:r>
    </w:p>
    <w:p w14:paraId="4C87DB92">
      <w:pPr>
        <w:pStyle w:val="5"/>
        <w:spacing w:line="336" w:lineRule="auto"/>
        <w:jc w:val="center"/>
        <w:rPr>
          <w:rFonts w:ascii="仿宋" w:hAnsi="仿宋" w:eastAsia="仿宋" w:cs="仿宋"/>
          <w:color w:val="auto"/>
          <w:sz w:val="28"/>
          <w:szCs w:val="28"/>
          <w:highlight w:val="none"/>
        </w:rPr>
      </w:pPr>
      <w:bookmarkStart w:id="132" w:name="_Toc216582809"/>
      <w:bookmarkStart w:id="133" w:name="_Toc12436"/>
      <w:bookmarkStart w:id="134" w:name="_Toc532473470"/>
      <w:bookmarkStart w:id="135" w:name="_Toc520356163"/>
      <w:bookmarkStart w:id="136" w:name="_Toc16868"/>
      <w:bookmarkStart w:id="137" w:name="_Toc2582284"/>
      <w:bookmarkStart w:id="138" w:name="_Toc28398"/>
      <w:bookmarkStart w:id="139" w:name="_Toc515647778"/>
      <w:r>
        <w:rPr>
          <w:rFonts w:hint="eastAsia" w:ascii="仿宋" w:hAnsi="仿宋" w:eastAsia="仿宋" w:cs="仿宋"/>
          <w:color w:val="auto"/>
          <w:sz w:val="28"/>
          <w:szCs w:val="28"/>
          <w:highlight w:val="none"/>
        </w:rPr>
        <w:t>（五）</w:t>
      </w:r>
      <w:bookmarkEnd w:id="132"/>
      <w:bookmarkEnd w:id="133"/>
      <w:bookmarkEnd w:id="134"/>
      <w:bookmarkEnd w:id="135"/>
      <w:bookmarkEnd w:id="136"/>
      <w:bookmarkEnd w:id="137"/>
      <w:bookmarkEnd w:id="138"/>
      <w:bookmarkEnd w:id="139"/>
      <w:bookmarkStart w:id="140" w:name="_Toc520356169"/>
      <w:r>
        <w:rPr>
          <w:rFonts w:hint="eastAsia" w:ascii="仿宋" w:hAnsi="仿宋" w:eastAsia="仿宋" w:cs="仿宋"/>
          <w:color w:val="auto"/>
          <w:sz w:val="28"/>
          <w:szCs w:val="28"/>
          <w:highlight w:val="none"/>
        </w:rPr>
        <w:t xml:space="preserve"> 开标及评标</w:t>
      </w:r>
    </w:p>
    <w:p w14:paraId="12FF5113">
      <w:pPr>
        <w:pStyle w:val="41"/>
        <w:spacing w:line="336" w:lineRule="auto"/>
        <w:rPr>
          <w:rFonts w:ascii="仿宋" w:hAnsi="仿宋" w:eastAsia="仿宋" w:cs="仿宋"/>
          <w:b/>
          <w:bCs/>
          <w:color w:val="auto"/>
          <w:highlight w:val="none"/>
        </w:rPr>
      </w:pPr>
      <w:bookmarkStart w:id="141" w:name="_Toc532473471"/>
      <w:bookmarkStart w:id="142" w:name="_Toc2582285"/>
      <w:bookmarkStart w:id="143" w:name="_Toc25345"/>
      <w:bookmarkStart w:id="144" w:name="_Toc7186"/>
      <w:bookmarkStart w:id="145" w:name="_Toc520356164"/>
      <w:bookmarkStart w:id="146" w:name="_Toc515647779"/>
      <w:r>
        <w:rPr>
          <w:rFonts w:hint="eastAsia" w:ascii="仿宋" w:hAnsi="仿宋" w:eastAsia="仿宋" w:cs="仿宋"/>
          <w:b/>
          <w:bCs/>
          <w:color w:val="auto"/>
          <w:highlight w:val="none"/>
        </w:rPr>
        <w:t>17.开标</w:t>
      </w:r>
      <w:bookmarkEnd w:id="141"/>
      <w:bookmarkEnd w:id="142"/>
      <w:bookmarkEnd w:id="143"/>
      <w:bookmarkEnd w:id="144"/>
      <w:bookmarkEnd w:id="145"/>
      <w:bookmarkEnd w:id="146"/>
    </w:p>
    <w:p w14:paraId="67D601F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17.1  采购人将按</w:t>
      </w:r>
      <w:r>
        <w:rPr>
          <w:rFonts w:hint="eastAsia" w:ascii="仿宋" w:hAnsi="仿宋" w:eastAsia="仿宋" w:cs="仿宋"/>
          <w:color w:val="auto"/>
          <w:sz w:val="24"/>
          <w:highlight w:val="none"/>
          <w:u w:val="single"/>
        </w:rPr>
        <w:t>供应商须知前附表</w:t>
      </w:r>
      <w:r>
        <w:rPr>
          <w:rFonts w:hint="eastAsia" w:ascii="仿宋" w:hAnsi="仿宋" w:eastAsia="仿宋" w:cs="仿宋"/>
          <w:color w:val="auto"/>
          <w:sz w:val="24"/>
          <w:highlight w:val="none"/>
        </w:rPr>
        <w:t>中规定的开标时间和地点组织开标，并邀请所有投标人代表参加。投标人不足3家的，不予开标。</w:t>
      </w:r>
    </w:p>
    <w:p w14:paraId="1817610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17.2  开标时，采购人公布投标人名单，介绍参加开标的人员，宣布工作人员，宣读投标人在开标一览表中所填写的全部内容。未宣读的投标价格、价格折扣等实质内容，评标时不予承认。</w:t>
      </w:r>
    </w:p>
    <w:p w14:paraId="53F2887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17.3  采购人将对开标过程进行记录</w:t>
      </w:r>
      <w:bookmarkStart w:id="147" w:name="_Toc520356165"/>
      <w:r>
        <w:rPr>
          <w:rFonts w:hint="eastAsia" w:ascii="仿宋" w:hAnsi="仿宋" w:eastAsia="仿宋" w:cs="仿宋"/>
          <w:color w:val="auto"/>
          <w:sz w:val="24"/>
          <w:highlight w:val="none"/>
        </w:rPr>
        <w:t>，由参加开标的各投标人代表和相关工作人员签字确认，并存档备查。投标人未派代表参加开标的，视同投标人认可开标结果。</w:t>
      </w:r>
    </w:p>
    <w:p w14:paraId="1A69E9D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  投标人代表对开标过程和开标记录有疑义，以及认为开标现场采购人有需要回避的情形的，应当场提出询问或者回避申请。</w:t>
      </w:r>
      <w:bookmarkEnd w:id="147"/>
      <w:bookmarkStart w:id="148" w:name="_Toc520356166"/>
    </w:p>
    <w:bookmarkEnd w:id="148"/>
    <w:p w14:paraId="6C3BAD52">
      <w:pPr>
        <w:spacing w:line="336" w:lineRule="auto"/>
        <w:rPr>
          <w:rFonts w:ascii="仿宋" w:hAnsi="仿宋" w:eastAsia="仿宋" w:cs="仿宋"/>
          <w:b/>
          <w:bCs/>
          <w:color w:val="auto"/>
          <w:sz w:val="24"/>
          <w:highlight w:val="none"/>
        </w:rPr>
      </w:pPr>
      <w:bookmarkStart w:id="149" w:name="_Toc520356167"/>
      <w:r>
        <w:rPr>
          <w:rFonts w:hint="eastAsia" w:ascii="仿宋" w:hAnsi="仿宋" w:eastAsia="仿宋" w:cs="仿宋"/>
          <w:b/>
          <w:bCs/>
          <w:color w:val="auto"/>
          <w:sz w:val="24"/>
          <w:highlight w:val="none"/>
        </w:rPr>
        <w:t>18</w:t>
      </w:r>
      <w:r>
        <w:rPr>
          <w:rFonts w:hint="eastAsia" w:ascii="仿宋" w:hAnsi="仿宋" w:eastAsia="仿宋" w:cs="仿宋"/>
          <w:b/>
          <w:bCs/>
          <w:color w:val="auto"/>
          <w:sz w:val="24"/>
          <w:highlight w:val="none"/>
        </w:rPr>
        <w:tab/>
      </w:r>
      <w:r>
        <w:rPr>
          <w:rFonts w:hint="eastAsia" w:ascii="仿宋" w:hAnsi="仿宋" w:eastAsia="仿宋" w:cs="仿宋"/>
          <w:b/>
          <w:bCs/>
          <w:color w:val="auto"/>
          <w:sz w:val="24"/>
          <w:highlight w:val="none"/>
        </w:rPr>
        <w:t>投标文件的澄清</w:t>
      </w:r>
    </w:p>
    <w:p w14:paraId="48751E0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18.1  在评标期间，评标小组要求投标人对其投标文件中含义不明确、对同类问题表述不一致或者有明显文字和计算错误的内容，以及评标小组认为投标人的报价明显低于其他通过符合性审查投标人的报价，有可能影响履约的情况做必要的澄清、说明或补正。投标人的澄清、说明或补正应在评标小组规定的时间内进行，并不得超出投标文件范围或者改变投标文件的实质性内容。</w:t>
      </w:r>
    </w:p>
    <w:p w14:paraId="500E848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18.2 投标人的澄清、说明或补正将作为投标文件的一部分。</w:t>
      </w:r>
    </w:p>
    <w:p w14:paraId="58001F6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18.3   投标文件报价出现前后不一致的，按照下列规定修正：</w:t>
      </w:r>
    </w:p>
    <w:p w14:paraId="17C1171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（1）投标文件中开标一览表（报价表）内容与投标文件中相应内容不一致的，以开标一览表（报价表）为准；</w:t>
      </w:r>
    </w:p>
    <w:p w14:paraId="659EDBE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（2）大写金额和小写金额不一致的，以大写金额为准；</w:t>
      </w:r>
    </w:p>
    <w:p w14:paraId="1A6779B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（3）单价金额小数点或者百分比有明显错位的，以开标一览表的总价为准，并修改单价；</w:t>
      </w:r>
    </w:p>
    <w:p w14:paraId="0EB48BC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（4）总价金额与按单价汇总金额不一致的，以单价金额计算结果为准。同时出现两种以上不一致的，按照前款规定的顺序修正。</w:t>
      </w:r>
    </w:p>
    <w:bookmarkEnd w:id="149"/>
    <w:p w14:paraId="3F629979">
      <w:pPr>
        <w:pStyle w:val="41"/>
        <w:spacing w:line="336" w:lineRule="auto"/>
        <w:rPr>
          <w:rFonts w:ascii="仿宋" w:hAnsi="仿宋" w:eastAsia="仿宋" w:cs="仿宋"/>
          <w:b/>
          <w:bCs/>
          <w:color w:val="auto"/>
          <w:highlight w:val="none"/>
        </w:rPr>
      </w:pPr>
      <w:bookmarkStart w:id="150" w:name="_Toc24972"/>
      <w:bookmarkStart w:id="151" w:name="_Toc515647786"/>
      <w:bookmarkStart w:id="152" w:name="_Toc31289"/>
      <w:bookmarkStart w:id="153" w:name="_Toc2582292"/>
      <w:bookmarkStart w:id="154" w:name="_Toc532473478"/>
      <w:r>
        <w:rPr>
          <w:rFonts w:hint="eastAsia" w:ascii="仿宋" w:hAnsi="仿宋" w:eastAsia="仿宋" w:cs="仿宋"/>
          <w:b/>
          <w:bCs/>
          <w:color w:val="auto"/>
          <w:highlight w:val="none"/>
        </w:rPr>
        <w:t>19.保密</w:t>
      </w:r>
      <w:bookmarkEnd w:id="150"/>
      <w:bookmarkEnd w:id="151"/>
      <w:bookmarkEnd w:id="152"/>
      <w:r>
        <w:rPr>
          <w:rFonts w:hint="eastAsia" w:ascii="仿宋" w:hAnsi="仿宋" w:eastAsia="仿宋" w:cs="仿宋"/>
          <w:b/>
          <w:bCs/>
          <w:color w:val="auto"/>
          <w:highlight w:val="none"/>
        </w:rPr>
        <w:t>要求</w:t>
      </w:r>
      <w:bookmarkEnd w:id="153"/>
      <w:bookmarkEnd w:id="154"/>
    </w:p>
    <w:p w14:paraId="44A6846F">
      <w:pPr>
        <w:spacing w:line="336" w:lineRule="auto"/>
        <w:ind w:left="900" w:hanging="900" w:hangingChars="375"/>
        <w:rPr>
          <w:rFonts w:ascii="仿宋" w:hAnsi="仿宋" w:eastAsia="仿宋" w:cs="仿宋"/>
          <w:color w:val="auto"/>
          <w:sz w:val="24"/>
          <w:highlight w:val="none"/>
        </w:rPr>
      </w:pPr>
      <w:r>
        <w:rPr>
          <w:rFonts w:hint="eastAsia" w:ascii="仿宋" w:hAnsi="仿宋" w:eastAsia="仿宋" w:cs="仿宋"/>
          <w:color w:val="auto"/>
          <w:sz w:val="24"/>
          <w:highlight w:val="none"/>
        </w:rPr>
        <w:t>19.1  评标将在严格保密的情况下进行。</w:t>
      </w:r>
    </w:p>
    <w:p w14:paraId="4333691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19.2  有关人员应当遵守评标工作纪律，不得泄露评标文件、评标情况和评标中获悉的国家秘密、商业秘密。</w:t>
      </w:r>
    </w:p>
    <w:p w14:paraId="26549917">
      <w:pPr>
        <w:widowControl/>
        <w:spacing w:line="460" w:lineRule="exact"/>
        <w:rPr>
          <w:rFonts w:ascii="仿宋" w:hAnsi="仿宋" w:eastAsia="仿宋" w:cs="仿宋"/>
          <w:color w:val="auto"/>
          <w:sz w:val="24"/>
          <w:highlight w:val="none"/>
        </w:rPr>
      </w:pPr>
    </w:p>
    <w:bookmarkEnd w:id="140"/>
    <w:p w14:paraId="1681BE22">
      <w:pPr>
        <w:pStyle w:val="5"/>
        <w:spacing w:before="312" w:beforeLines="100" w:after="156" w:afterLines="50" w:line="360" w:lineRule="auto"/>
        <w:jc w:val="center"/>
        <w:rPr>
          <w:rFonts w:ascii="仿宋" w:hAnsi="仿宋" w:eastAsia="仿宋" w:cs="仿宋"/>
          <w:color w:val="auto"/>
          <w:sz w:val="28"/>
          <w:szCs w:val="28"/>
          <w:highlight w:val="none"/>
        </w:rPr>
      </w:pPr>
      <w:bookmarkStart w:id="155" w:name="_Toc515647787"/>
      <w:bookmarkStart w:id="156" w:name="_Toc532473479"/>
      <w:bookmarkStart w:id="157" w:name="_Toc12143"/>
      <w:bookmarkStart w:id="158" w:name="_Toc216582810"/>
      <w:bookmarkStart w:id="159" w:name="_Toc23904"/>
      <w:bookmarkStart w:id="160" w:name="_Toc2582293"/>
      <w:bookmarkStart w:id="161" w:name="_Toc3856"/>
      <w:r>
        <w:rPr>
          <w:rFonts w:hint="eastAsia" w:ascii="仿宋" w:hAnsi="仿宋" w:eastAsia="仿宋" w:cs="仿宋"/>
          <w:color w:val="auto"/>
          <w:sz w:val="28"/>
          <w:szCs w:val="28"/>
          <w:highlight w:val="none"/>
        </w:rPr>
        <w:t>（六）确定</w:t>
      </w:r>
      <w:bookmarkEnd w:id="155"/>
      <w:bookmarkEnd w:id="156"/>
      <w:bookmarkEnd w:id="157"/>
      <w:bookmarkEnd w:id="158"/>
      <w:bookmarkEnd w:id="159"/>
      <w:bookmarkEnd w:id="160"/>
      <w:r>
        <w:rPr>
          <w:rFonts w:hint="eastAsia" w:ascii="仿宋" w:hAnsi="仿宋" w:eastAsia="仿宋" w:cs="仿宋"/>
          <w:color w:val="auto"/>
          <w:sz w:val="28"/>
          <w:szCs w:val="28"/>
          <w:highlight w:val="none"/>
        </w:rPr>
        <w:t>中标</w:t>
      </w:r>
      <w:bookmarkEnd w:id="161"/>
    </w:p>
    <w:p w14:paraId="0A67C95D">
      <w:pPr>
        <w:pStyle w:val="6"/>
        <w:spacing w:line="360" w:lineRule="auto"/>
        <w:ind w:firstLine="0"/>
        <w:rPr>
          <w:rFonts w:ascii="仿宋" w:hAnsi="仿宋" w:eastAsia="仿宋" w:cs="仿宋"/>
          <w:color w:val="auto"/>
          <w:highlight w:val="none"/>
        </w:rPr>
      </w:pPr>
      <w:bookmarkStart w:id="162" w:name="_Toc532473480"/>
      <w:bookmarkStart w:id="163" w:name="_Toc520356170"/>
      <w:bookmarkStart w:id="164" w:name="_Toc23617"/>
      <w:bookmarkStart w:id="165" w:name="_Ref467307010"/>
      <w:bookmarkStart w:id="166" w:name="_Toc515647788"/>
      <w:bookmarkStart w:id="167" w:name="_Toc2582294"/>
      <w:bookmarkStart w:id="168" w:name="_Toc23762"/>
      <w:r>
        <w:rPr>
          <w:rFonts w:hint="eastAsia" w:ascii="仿宋" w:hAnsi="仿宋" w:eastAsia="仿宋" w:cs="仿宋"/>
          <w:b/>
          <w:bCs/>
          <w:color w:val="auto"/>
          <w:kern w:val="2"/>
          <w:sz w:val="24"/>
          <w:highlight w:val="none"/>
        </w:rPr>
        <w:t>20.中标候选人的确定原则及标准</w:t>
      </w:r>
      <w:bookmarkEnd w:id="162"/>
      <w:bookmarkEnd w:id="163"/>
      <w:bookmarkEnd w:id="164"/>
      <w:bookmarkEnd w:id="165"/>
      <w:bookmarkEnd w:id="166"/>
      <w:bookmarkEnd w:id="167"/>
      <w:bookmarkEnd w:id="168"/>
    </w:p>
    <w:p w14:paraId="4AA4B24D">
      <w:pPr>
        <w:pStyle w:val="2"/>
        <w:spacing w:line="360" w:lineRule="auto"/>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20.1  除评标小组受采购人委托直接确定中标供应商的情形外，对实质上响应招标文件的投标人按下列方法进行排序，确定中标候选人。</w:t>
      </w:r>
    </w:p>
    <w:p w14:paraId="2B5912AF">
      <w:pPr>
        <w:pStyle w:val="2"/>
        <w:spacing w:line="360" w:lineRule="auto"/>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20.2  采用综合评标，依据评分标准进行评标并做出排序，得分相同以报价低的优先，报价仍相同的，由评标小组确定排名顺序。</w:t>
      </w:r>
    </w:p>
    <w:p w14:paraId="132E8DD5">
      <w:pPr>
        <w:pStyle w:val="2"/>
        <w:spacing w:line="360" w:lineRule="auto"/>
        <w:ind w:left="0" w:leftChars="0" w:firstLine="0" w:firstLine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21.确定中标候选人和中标供应商</w:t>
      </w:r>
    </w:p>
    <w:p w14:paraId="7C03D813">
      <w:pPr>
        <w:pStyle w:val="2"/>
        <w:spacing w:line="360" w:lineRule="auto"/>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由评标小组直接确定中标供应商。</w:t>
      </w:r>
    </w:p>
    <w:p w14:paraId="3A855DD8">
      <w:pPr>
        <w:pStyle w:val="2"/>
        <w:spacing w:line="360" w:lineRule="auto"/>
        <w:ind w:left="0" w:leftChars="0" w:firstLine="0" w:firstLine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22.发出中标通知书</w:t>
      </w:r>
    </w:p>
    <w:p w14:paraId="296DF492">
      <w:pPr>
        <w:pStyle w:val="2"/>
        <w:spacing w:line="360" w:lineRule="auto"/>
        <w:ind w:left="0" w:leftChars="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在投标有效期内，中标供应商确定后，采购人发布中标公告。</w:t>
      </w:r>
    </w:p>
    <w:p w14:paraId="7A4C5B5A">
      <w:pPr>
        <w:pStyle w:val="2"/>
        <w:spacing w:line="360" w:lineRule="auto"/>
        <w:ind w:left="0" w:leftChars="0" w:firstLine="0" w:firstLineChars="0"/>
        <w:rPr>
          <w:rFonts w:ascii="仿宋" w:hAnsi="仿宋" w:eastAsia="仿宋" w:cs="仿宋"/>
          <w:color w:val="auto"/>
          <w:sz w:val="24"/>
          <w:highlight w:val="none"/>
        </w:rPr>
      </w:pPr>
    </w:p>
    <w:p w14:paraId="5E59957D">
      <w:pPr>
        <w:pStyle w:val="5"/>
        <w:numPr>
          <w:ilvl w:val="0"/>
          <w:numId w:val="1"/>
        </w:numPr>
        <w:spacing w:before="0" w:after="0" w:line="360" w:lineRule="auto"/>
        <w:ind w:firstLine="643" w:firstLineChars="200"/>
        <w:jc w:val="center"/>
        <w:rPr>
          <w:rFonts w:ascii="仿宋" w:hAnsi="仿宋" w:eastAsia="仿宋"/>
          <w:color w:val="auto"/>
          <w:highlight w:val="none"/>
        </w:rPr>
      </w:pPr>
      <w:bookmarkStart w:id="169" w:name="_Toc24852"/>
      <w:r>
        <w:rPr>
          <w:rFonts w:hint="eastAsia" w:ascii="仿宋" w:hAnsi="仿宋" w:eastAsia="仿宋"/>
          <w:color w:val="auto"/>
          <w:highlight w:val="none"/>
        </w:rPr>
        <w:t>项目说明和采购需求</w:t>
      </w:r>
      <w:bookmarkEnd w:id="169"/>
    </w:p>
    <w:p w14:paraId="2DC8B7C0">
      <w:pPr>
        <w:spacing w:line="360" w:lineRule="auto"/>
        <w:ind w:firstLine="480" w:firstLineChars="200"/>
        <w:rPr>
          <w:rFonts w:ascii="仿宋" w:hAnsi="仿宋" w:eastAsia="仿宋" w:cs="仿宋"/>
          <w:color w:val="auto"/>
          <w:sz w:val="24"/>
          <w:highlight w:val="none"/>
        </w:rPr>
      </w:pPr>
    </w:p>
    <w:p w14:paraId="083E0457">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行政事业单位内部控制规范（试行）》（财会〔2012〕21号）、《行政事业单位内部控制评价办法》（财会〔2025〕24号）《关于进一步加强高等学校内部控制建设的指导意见》（财会〔2024〕16号）等文件精神，开展学校风险评估服务，并最终形成《学校风险评估报告》。</w:t>
      </w:r>
    </w:p>
    <w:p w14:paraId="4E392AF0">
      <w:pPr>
        <w:spacing w:line="360" w:lineRule="auto"/>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一、需求范围</w:t>
      </w:r>
    </w:p>
    <w:p w14:paraId="2F15AC54">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全面、系统和客观地识别、分析学校单位层面和业务层面的内控风险，确定相应的风险承受度及风险应对措施，包含但不限于以下主要方面：</w:t>
      </w:r>
    </w:p>
    <w:p w14:paraId="6D80E862">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1．此次学校风险评估工作范围涵盖学校的单位层面和业务层面的预算管理、收支业务、政府采购业务、合同管理、资产管理、建设项目、债务管理、对外合作、科研管理、基金会、信息化建设等。</w:t>
      </w:r>
    </w:p>
    <w:p w14:paraId="055FEE97">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2．基于学校管理实际，通过访谈、调查问卷等方式，梳理学校风险现状，识别风险事项、排序重要风险事项、完善风险数据库，确定相应的风险承受度和风险应对策略出具年度风险评估报告。</w:t>
      </w:r>
    </w:p>
    <w:p w14:paraId="4C50DB6A">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3．内部控制风险评估报告。风险评估报告至少应当包括:真实性声明、评估工作总体情况、评估依据、评估范围、评估程序和方法、风险及其认定、评估结论、风险应对策略及整体优化建议等内容。</w:t>
      </w:r>
    </w:p>
    <w:p w14:paraId="54FE5310">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4．服务期间如上级文件对内部控制风险评估要求及内容增加变动，需依据新要求及内容进行评估。</w:t>
      </w:r>
    </w:p>
    <w:p w14:paraId="38B30036">
      <w:pPr>
        <w:pStyle w:val="2"/>
        <w:ind w:left="0" w:leftChars="0" w:firstLine="0" w:firstLineChars="0"/>
        <w:rPr>
          <w:rFonts w:hint="default" w:eastAsia="仿宋_GB2312"/>
          <w:color w:val="auto"/>
          <w:highlight w:val="none"/>
          <w:lang w:val="en-US" w:eastAsia="zh-CN"/>
        </w:rPr>
      </w:pPr>
      <w:r>
        <w:rPr>
          <w:rFonts w:hint="eastAsia" w:ascii="仿宋_GB2312" w:hAnsi="仿宋_GB2312" w:cs="仿宋_GB2312"/>
          <w:color w:val="auto"/>
          <w:sz w:val="24"/>
          <w:highlight w:val="none"/>
          <w:lang w:val="en-US" w:eastAsia="zh-CN"/>
        </w:rPr>
        <w:t xml:space="preserve">    5.提供内控咨询服务。自合同签订起三年内，为学校内控报告编写提供咨询服务。</w:t>
      </w:r>
    </w:p>
    <w:p w14:paraId="6CDE45A8">
      <w:pPr>
        <w:spacing w:line="360" w:lineRule="auto"/>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二、项目成果</w:t>
      </w:r>
    </w:p>
    <w:p w14:paraId="26231E77">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形成的资料包括但不限于以下内容：</w:t>
      </w:r>
    </w:p>
    <w:tbl>
      <w:tblPr>
        <w:tblStyle w:val="23"/>
        <w:tblW w:w="5000" w:type="pct"/>
        <w:tblInd w:w="0" w:type="dxa"/>
        <w:tblLayout w:type="fixed"/>
        <w:tblCellMar>
          <w:top w:w="0" w:type="dxa"/>
          <w:left w:w="108" w:type="dxa"/>
          <w:bottom w:w="0" w:type="dxa"/>
          <w:right w:w="108" w:type="dxa"/>
        </w:tblCellMar>
      </w:tblPr>
      <w:tblGrid>
        <w:gridCol w:w="730"/>
        <w:gridCol w:w="3155"/>
        <w:gridCol w:w="4971"/>
      </w:tblGrid>
      <w:tr w14:paraId="7F8BDD6D">
        <w:tblPrEx>
          <w:tblCellMar>
            <w:top w:w="0" w:type="dxa"/>
            <w:left w:w="108" w:type="dxa"/>
            <w:bottom w:w="0" w:type="dxa"/>
            <w:right w:w="108" w:type="dxa"/>
          </w:tblCellMar>
        </w:tblPrEx>
        <w:trPr>
          <w:trHeight w:val="288" w:hRule="atLeast"/>
        </w:trPr>
        <w:tc>
          <w:tcPr>
            <w:tcW w:w="412" w:type="pct"/>
            <w:tcBorders>
              <w:top w:val="single" w:color="000000" w:sz="4" w:space="0"/>
              <w:left w:val="single" w:color="000000" w:sz="4" w:space="0"/>
              <w:bottom w:val="single" w:color="000000" w:sz="4" w:space="0"/>
              <w:right w:val="single" w:color="000000" w:sz="4" w:space="0"/>
            </w:tcBorders>
            <w:noWrap/>
            <w:vAlign w:val="center"/>
          </w:tcPr>
          <w:p w14:paraId="2C548C61">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序号</w:t>
            </w:r>
          </w:p>
        </w:tc>
        <w:tc>
          <w:tcPr>
            <w:tcW w:w="1781" w:type="pct"/>
            <w:tcBorders>
              <w:top w:val="single" w:color="000000" w:sz="4" w:space="0"/>
              <w:left w:val="single" w:color="000000" w:sz="4" w:space="0"/>
              <w:bottom w:val="single" w:color="000000" w:sz="4" w:space="0"/>
              <w:right w:val="single" w:color="000000" w:sz="4" w:space="0"/>
            </w:tcBorders>
            <w:noWrap/>
            <w:vAlign w:val="center"/>
          </w:tcPr>
          <w:p w14:paraId="429A3436">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咨询成果名称</w:t>
            </w:r>
          </w:p>
        </w:tc>
        <w:tc>
          <w:tcPr>
            <w:tcW w:w="2807" w:type="pct"/>
            <w:tcBorders>
              <w:top w:val="single" w:color="000000" w:sz="4" w:space="0"/>
              <w:left w:val="single" w:color="000000" w:sz="4" w:space="0"/>
              <w:bottom w:val="single" w:color="000000" w:sz="4" w:space="0"/>
              <w:right w:val="single" w:color="000000" w:sz="4" w:space="0"/>
            </w:tcBorders>
            <w:noWrap/>
            <w:vAlign w:val="center"/>
          </w:tcPr>
          <w:p w14:paraId="30D1E6B1">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咨询成果主要内容</w:t>
            </w:r>
          </w:p>
        </w:tc>
      </w:tr>
      <w:tr w14:paraId="6D0D04B1">
        <w:tblPrEx>
          <w:tblCellMar>
            <w:top w:w="0" w:type="dxa"/>
            <w:left w:w="108" w:type="dxa"/>
            <w:bottom w:w="0" w:type="dxa"/>
            <w:right w:w="108" w:type="dxa"/>
          </w:tblCellMar>
        </w:tblPrEx>
        <w:trPr>
          <w:trHeight w:val="288" w:hRule="atLeast"/>
        </w:trPr>
        <w:tc>
          <w:tcPr>
            <w:tcW w:w="412" w:type="pct"/>
            <w:tcBorders>
              <w:top w:val="single" w:color="000000" w:sz="4" w:space="0"/>
              <w:left w:val="single" w:color="000000" w:sz="4" w:space="0"/>
              <w:bottom w:val="single" w:color="000000" w:sz="4" w:space="0"/>
              <w:right w:val="single" w:color="000000" w:sz="4" w:space="0"/>
            </w:tcBorders>
            <w:noWrap/>
            <w:vAlign w:val="center"/>
          </w:tcPr>
          <w:p w14:paraId="33BAA997">
            <w:pPr>
              <w:widowControl/>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1-1</w:t>
            </w:r>
          </w:p>
        </w:tc>
        <w:tc>
          <w:tcPr>
            <w:tcW w:w="1781" w:type="pct"/>
            <w:tcBorders>
              <w:top w:val="single" w:color="000000" w:sz="4" w:space="0"/>
              <w:left w:val="single" w:color="000000" w:sz="4" w:space="0"/>
              <w:bottom w:val="single" w:color="000000" w:sz="4" w:space="0"/>
              <w:right w:val="single" w:color="000000" w:sz="4" w:space="0"/>
            </w:tcBorders>
            <w:noWrap/>
            <w:vAlign w:val="center"/>
          </w:tcPr>
          <w:p w14:paraId="1B08DD99">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《风险评估实施方案》</w:t>
            </w:r>
          </w:p>
        </w:tc>
        <w:tc>
          <w:tcPr>
            <w:tcW w:w="2807" w:type="pct"/>
            <w:tcBorders>
              <w:top w:val="single" w:color="000000" w:sz="4" w:space="0"/>
              <w:left w:val="single" w:color="000000" w:sz="4" w:space="0"/>
              <w:bottom w:val="single" w:color="000000" w:sz="4" w:space="0"/>
              <w:right w:val="single" w:color="000000" w:sz="4" w:space="0"/>
            </w:tcBorders>
            <w:noWrap/>
            <w:vAlign w:val="center"/>
          </w:tcPr>
          <w:p w14:paraId="3E2A04F5">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风险评估依据、评估范围、评估程序和方法等工作开展规划。</w:t>
            </w:r>
          </w:p>
        </w:tc>
      </w:tr>
      <w:tr w14:paraId="1EA67C4E">
        <w:tblPrEx>
          <w:tblCellMar>
            <w:top w:w="0" w:type="dxa"/>
            <w:left w:w="108" w:type="dxa"/>
            <w:bottom w:w="0" w:type="dxa"/>
            <w:right w:w="108" w:type="dxa"/>
          </w:tblCellMar>
        </w:tblPrEx>
        <w:trPr>
          <w:trHeight w:val="288" w:hRule="atLeast"/>
        </w:trPr>
        <w:tc>
          <w:tcPr>
            <w:tcW w:w="412" w:type="pct"/>
            <w:tcBorders>
              <w:top w:val="single" w:color="000000" w:sz="4" w:space="0"/>
              <w:left w:val="single" w:color="000000" w:sz="4" w:space="0"/>
              <w:bottom w:val="single" w:color="000000" w:sz="4" w:space="0"/>
              <w:right w:val="single" w:color="000000" w:sz="4" w:space="0"/>
            </w:tcBorders>
            <w:noWrap/>
            <w:vAlign w:val="center"/>
          </w:tcPr>
          <w:p w14:paraId="2779E467">
            <w:pPr>
              <w:widowControl/>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1-2</w:t>
            </w:r>
          </w:p>
        </w:tc>
        <w:tc>
          <w:tcPr>
            <w:tcW w:w="1781" w:type="pct"/>
            <w:tcBorders>
              <w:top w:val="single" w:color="000000" w:sz="4" w:space="0"/>
              <w:left w:val="single" w:color="000000" w:sz="4" w:space="0"/>
              <w:bottom w:val="single" w:color="000000" w:sz="4" w:space="0"/>
              <w:right w:val="single" w:color="000000" w:sz="4" w:space="0"/>
            </w:tcBorders>
            <w:noWrap/>
            <w:vAlign w:val="center"/>
          </w:tcPr>
          <w:p w14:paraId="0A3BFEB1">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工作底稿等过程资料</w:t>
            </w:r>
          </w:p>
        </w:tc>
        <w:tc>
          <w:tcPr>
            <w:tcW w:w="2807" w:type="pct"/>
            <w:tcBorders>
              <w:top w:val="single" w:color="000000" w:sz="4" w:space="0"/>
              <w:left w:val="single" w:color="000000" w:sz="4" w:space="0"/>
              <w:bottom w:val="single" w:color="000000" w:sz="4" w:space="0"/>
              <w:right w:val="single" w:color="000000" w:sz="4" w:space="0"/>
            </w:tcBorders>
            <w:noWrap/>
            <w:vAlign w:val="center"/>
          </w:tcPr>
          <w:p w14:paraId="3AA6736A">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书面工作底稿等评估过程资料。</w:t>
            </w:r>
          </w:p>
        </w:tc>
      </w:tr>
      <w:tr w14:paraId="25B2248C">
        <w:tblPrEx>
          <w:tblCellMar>
            <w:top w:w="0" w:type="dxa"/>
            <w:left w:w="108" w:type="dxa"/>
            <w:bottom w:w="0" w:type="dxa"/>
            <w:right w:w="108" w:type="dxa"/>
          </w:tblCellMar>
        </w:tblPrEx>
        <w:trPr>
          <w:trHeight w:val="288" w:hRule="atLeast"/>
        </w:trPr>
        <w:tc>
          <w:tcPr>
            <w:tcW w:w="412" w:type="pct"/>
            <w:tcBorders>
              <w:top w:val="single" w:color="000000" w:sz="4" w:space="0"/>
              <w:left w:val="single" w:color="000000" w:sz="4" w:space="0"/>
              <w:bottom w:val="single" w:color="000000" w:sz="4" w:space="0"/>
              <w:right w:val="single" w:color="000000" w:sz="4" w:space="0"/>
            </w:tcBorders>
            <w:noWrap/>
            <w:vAlign w:val="center"/>
          </w:tcPr>
          <w:p w14:paraId="73FB8B28">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1-3</w:t>
            </w:r>
          </w:p>
        </w:tc>
        <w:tc>
          <w:tcPr>
            <w:tcW w:w="1781" w:type="pct"/>
            <w:tcBorders>
              <w:top w:val="single" w:color="000000" w:sz="4" w:space="0"/>
              <w:left w:val="single" w:color="000000" w:sz="4" w:space="0"/>
              <w:bottom w:val="single" w:color="000000" w:sz="4" w:space="0"/>
              <w:right w:val="single" w:color="000000" w:sz="4" w:space="0"/>
            </w:tcBorders>
            <w:noWrap/>
            <w:vAlign w:val="center"/>
          </w:tcPr>
          <w:p w14:paraId="14168109">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《风险评估报告》</w:t>
            </w:r>
          </w:p>
        </w:tc>
        <w:tc>
          <w:tcPr>
            <w:tcW w:w="2807" w:type="pct"/>
            <w:tcBorders>
              <w:top w:val="single" w:color="000000" w:sz="4" w:space="0"/>
              <w:left w:val="single" w:color="000000" w:sz="4" w:space="0"/>
              <w:bottom w:val="single" w:color="000000" w:sz="4" w:space="0"/>
              <w:right w:val="single" w:color="000000" w:sz="4" w:space="0"/>
            </w:tcBorders>
            <w:noWrap/>
            <w:vAlign w:val="center"/>
          </w:tcPr>
          <w:p w14:paraId="3E60E15B">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风险评估报告至少应当包括:真实性声明、评估工作总体情况、评估依据、评估范围、评估程序和方法、风险及其认定、评估结论、风险应对策略及整体优化建议等内容。</w:t>
            </w:r>
          </w:p>
        </w:tc>
      </w:tr>
      <w:tr w14:paraId="6405F761">
        <w:tblPrEx>
          <w:tblCellMar>
            <w:top w:w="0" w:type="dxa"/>
            <w:left w:w="108" w:type="dxa"/>
            <w:bottom w:w="0" w:type="dxa"/>
            <w:right w:w="108" w:type="dxa"/>
          </w:tblCellMar>
        </w:tblPrEx>
        <w:trPr>
          <w:trHeight w:val="288" w:hRule="atLeast"/>
        </w:trPr>
        <w:tc>
          <w:tcPr>
            <w:tcW w:w="412" w:type="pct"/>
            <w:tcBorders>
              <w:top w:val="single" w:color="000000" w:sz="4" w:space="0"/>
              <w:left w:val="single" w:color="000000" w:sz="4" w:space="0"/>
              <w:bottom w:val="single" w:color="000000" w:sz="4" w:space="0"/>
              <w:right w:val="single" w:color="000000" w:sz="4" w:space="0"/>
            </w:tcBorders>
            <w:noWrap/>
            <w:vAlign w:val="center"/>
          </w:tcPr>
          <w:p w14:paraId="0FA3B7C2">
            <w:pPr>
              <w:widowControl/>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3</w:t>
            </w:r>
          </w:p>
        </w:tc>
        <w:tc>
          <w:tcPr>
            <w:tcW w:w="1781" w:type="pct"/>
            <w:tcBorders>
              <w:top w:val="single" w:color="000000" w:sz="4" w:space="0"/>
              <w:left w:val="single" w:color="000000" w:sz="4" w:space="0"/>
              <w:bottom w:val="single" w:color="000000" w:sz="4" w:space="0"/>
              <w:right w:val="single" w:color="000000" w:sz="4" w:space="0"/>
            </w:tcBorders>
            <w:noWrap/>
            <w:vAlign w:val="center"/>
          </w:tcPr>
          <w:p w14:paraId="16CD50C4">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电子资料</w:t>
            </w:r>
          </w:p>
        </w:tc>
        <w:tc>
          <w:tcPr>
            <w:tcW w:w="2807" w:type="pct"/>
            <w:tcBorders>
              <w:top w:val="single" w:color="000000" w:sz="4" w:space="0"/>
              <w:left w:val="single" w:color="000000" w:sz="4" w:space="0"/>
              <w:bottom w:val="single" w:color="000000" w:sz="4" w:space="0"/>
              <w:right w:val="single" w:color="000000" w:sz="4" w:space="0"/>
            </w:tcBorders>
            <w:noWrap/>
            <w:vAlign w:val="center"/>
          </w:tcPr>
          <w:p w14:paraId="5DA02706">
            <w:pPr>
              <w:widowControl/>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开展以上工作中形成资料电子资料</w:t>
            </w:r>
          </w:p>
        </w:tc>
      </w:tr>
      <w:tr w14:paraId="7B356C27">
        <w:tblPrEx>
          <w:tblCellMar>
            <w:top w:w="0" w:type="dxa"/>
            <w:left w:w="108" w:type="dxa"/>
            <w:bottom w:w="0" w:type="dxa"/>
            <w:right w:w="108" w:type="dxa"/>
          </w:tblCellMar>
        </w:tblPrEx>
        <w:trPr>
          <w:trHeight w:val="11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53F03B26">
            <w:pPr>
              <w:widowControl/>
              <w:textAlignment w:val="center"/>
              <w:rPr>
                <w:rFonts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备注：提供风险评估报告电子版1份，纸质版各3份。</w:t>
            </w:r>
          </w:p>
          <w:p w14:paraId="421A04C2">
            <w:pPr>
              <w:widowControl/>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保证评估报告符合财经法律法规要求，内容真实、准确、完整，不弄虚作假；内容详尽、事实描述清楚，问题依据充分，建议合理可行。</w:t>
            </w:r>
          </w:p>
        </w:tc>
      </w:tr>
    </w:tbl>
    <w:p w14:paraId="4B8300AA">
      <w:pPr>
        <w:spacing w:line="360" w:lineRule="auto"/>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三、团队及驻点要求</w:t>
      </w:r>
    </w:p>
    <w:p w14:paraId="7BBD5431">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（一）项目组现场负责人和团队成员应具有丰富的内部控制评价、内部控制风险评估或内部控制建设经验。</w:t>
      </w:r>
    </w:p>
    <w:p w14:paraId="2953E539">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（二）所有人员中标后不得随意更换,如需更换，需报请学校同意后方可更换。</w:t>
      </w:r>
    </w:p>
    <w:p w14:paraId="128D7448">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（三）服务期间提供日常内控咨询服务，进驻学校现场调查时间不少于21个工作日。</w:t>
      </w:r>
    </w:p>
    <w:p w14:paraId="57B2A6F3">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（四）派人参与学校内控工作会议，对提交的风险评估报告进行现场讲解。</w:t>
      </w:r>
    </w:p>
    <w:p w14:paraId="7BBBAC57">
      <w:pPr>
        <w:spacing w:line="360" w:lineRule="auto"/>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四、工作开展方式</w:t>
      </w:r>
    </w:p>
    <w:p w14:paraId="69CF6D4E">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（一）签订合同后5个工作日内编制《风险评估方案》初稿交学校审议，并根据学校的意见进行相应的修改；</w:t>
      </w:r>
    </w:p>
    <w:p w14:paraId="55A13229">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（二）根据审定的《风险评估方案》按学校要求时间派出项目组进驻学校开展风险评估工作；</w:t>
      </w:r>
    </w:p>
    <w:p w14:paraId="240E2D28">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（三）在完成现场工作后45</w:t>
      </w:r>
      <w:r>
        <w:rPr>
          <w:rFonts w:hint="eastAsia" w:ascii="仿宋_GB2312" w:hAnsi="仿宋_GB2312" w:eastAsia="仿宋_GB2312" w:cs="仿宋_GB2312"/>
          <w:color w:val="auto"/>
          <w:sz w:val="24"/>
          <w:highlight w:val="none"/>
          <w:lang w:eastAsia="zh-CN"/>
        </w:rPr>
        <w:t>天</w:t>
      </w:r>
      <w:r>
        <w:rPr>
          <w:rFonts w:hint="eastAsia" w:ascii="仿宋_GB2312" w:hAnsi="仿宋_GB2312" w:eastAsia="仿宋_GB2312" w:cs="仿宋_GB2312"/>
          <w:color w:val="auto"/>
          <w:sz w:val="24"/>
          <w:highlight w:val="none"/>
        </w:rPr>
        <w:t>内出具“二、项目成果”中相关文件初稿交学校审议，并根据学校的意见进行相应的修改；</w:t>
      </w:r>
    </w:p>
    <w:p w14:paraId="4EE71E57">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（四）收到学校修改意见后15</w:t>
      </w:r>
      <w:r>
        <w:rPr>
          <w:rFonts w:hint="eastAsia" w:ascii="仿宋_GB2312" w:hAnsi="仿宋_GB2312" w:eastAsia="仿宋_GB2312" w:cs="仿宋_GB2312"/>
          <w:color w:val="auto"/>
          <w:sz w:val="24"/>
          <w:highlight w:val="none"/>
          <w:lang w:eastAsia="zh-CN"/>
        </w:rPr>
        <w:t>天</w:t>
      </w:r>
      <w:r>
        <w:rPr>
          <w:rFonts w:hint="eastAsia" w:ascii="仿宋_GB2312" w:hAnsi="仿宋_GB2312" w:eastAsia="仿宋_GB2312" w:cs="仿宋_GB2312"/>
          <w:color w:val="auto"/>
          <w:sz w:val="24"/>
          <w:highlight w:val="none"/>
        </w:rPr>
        <w:t>内出具“二、项目成果”中相关内容。</w:t>
      </w:r>
    </w:p>
    <w:p w14:paraId="1383BC09">
      <w:pPr>
        <w:spacing w:line="360" w:lineRule="auto"/>
        <w:rPr>
          <w:rFonts w:ascii="仿宋" w:hAnsi="仿宋" w:eastAsia="仿宋" w:cs="仿宋"/>
          <w:color w:val="auto"/>
          <w:sz w:val="24"/>
          <w:highlight w:val="none"/>
        </w:rPr>
      </w:pPr>
    </w:p>
    <w:p w14:paraId="3FD1633C">
      <w:pPr>
        <w:spacing w:line="360" w:lineRule="auto"/>
        <w:rPr>
          <w:rFonts w:ascii="仿宋" w:hAnsi="仿宋" w:eastAsia="仿宋" w:cs="仿宋"/>
          <w:color w:val="auto"/>
          <w:sz w:val="24"/>
          <w:highlight w:val="none"/>
        </w:rPr>
      </w:pPr>
    </w:p>
    <w:p w14:paraId="5ED8D6F4">
      <w:pPr>
        <w:rPr>
          <w:rFonts w:ascii="仿宋" w:hAnsi="仿宋" w:eastAsia="仿宋"/>
          <w:color w:val="auto"/>
          <w:highlight w:val="none"/>
        </w:rPr>
      </w:pPr>
      <w:r>
        <w:rPr>
          <w:rFonts w:hint="eastAsia" w:ascii="仿宋" w:hAnsi="仿宋" w:eastAsia="仿宋"/>
          <w:color w:val="auto"/>
          <w:highlight w:val="none"/>
        </w:rPr>
        <w:br w:type="page"/>
      </w:r>
    </w:p>
    <w:p w14:paraId="3FBB2688">
      <w:pPr>
        <w:pStyle w:val="5"/>
        <w:spacing w:before="0" w:after="0" w:line="360" w:lineRule="auto"/>
        <w:jc w:val="center"/>
        <w:rPr>
          <w:rFonts w:ascii="仿宋" w:hAnsi="仿宋" w:eastAsia="仿宋"/>
          <w:color w:val="auto"/>
          <w:highlight w:val="none"/>
        </w:rPr>
      </w:pPr>
      <w:bookmarkStart w:id="170" w:name="_Toc13145"/>
      <w:r>
        <w:rPr>
          <w:rFonts w:hint="eastAsia" w:ascii="仿宋" w:hAnsi="仿宋" w:eastAsia="仿宋"/>
          <w:color w:val="auto"/>
          <w:highlight w:val="none"/>
        </w:rPr>
        <w:t>第五章 评标方法和标准</w:t>
      </w:r>
      <w:bookmarkEnd w:id="170"/>
    </w:p>
    <w:p w14:paraId="09C20BB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宁夏医科大学内部控制风险评估项目采用综合评标。具体如下;</w:t>
      </w:r>
    </w:p>
    <w:tbl>
      <w:tblPr>
        <w:tblStyle w:val="23"/>
        <w:tblW w:w="10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45"/>
        <w:gridCol w:w="960"/>
        <w:gridCol w:w="7127"/>
      </w:tblGrid>
      <w:tr w14:paraId="5E56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39" w:type="dxa"/>
            <w:shd w:val="clear" w:color="auto" w:fill="FFFFFF"/>
            <w:vAlign w:val="center"/>
          </w:tcPr>
          <w:p w14:paraId="7448634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45" w:type="dxa"/>
            <w:shd w:val="clear" w:color="auto" w:fill="FFFFFF"/>
            <w:vAlign w:val="center"/>
          </w:tcPr>
          <w:p w14:paraId="1815F8B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评审项目</w:t>
            </w:r>
          </w:p>
        </w:tc>
        <w:tc>
          <w:tcPr>
            <w:tcW w:w="960" w:type="dxa"/>
            <w:shd w:val="clear" w:color="auto" w:fill="FFFFFF"/>
            <w:vAlign w:val="center"/>
          </w:tcPr>
          <w:p w14:paraId="1DF3F8A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标准分</w:t>
            </w:r>
          </w:p>
        </w:tc>
        <w:tc>
          <w:tcPr>
            <w:tcW w:w="7127" w:type="dxa"/>
            <w:shd w:val="clear" w:color="auto" w:fill="FFFFFF"/>
            <w:vAlign w:val="center"/>
          </w:tcPr>
          <w:p w14:paraId="3397B70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评分标准</w:t>
            </w:r>
          </w:p>
        </w:tc>
      </w:tr>
      <w:tr w14:paraId="451E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2D4984E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45" w:type="dxa"/>
            <w:vAlign w:val="center"/>
          </w:tcPr>
          <w:p w14:paraId="787C59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投标报价</w:t>
            </w:r>
          </w:p>
        </w:tc>
        <w:tc>
          <w:tcPr>
            <w:tcW w:w="960" w:type="dxa"/>
            <w:vAlign w:val="center"/>
          </w:tcPr>
          <w:p w14:paraId="558CE23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20分</w:t>
            </w:r>
          </w:p>
        </w:tc>
        <w:tc>
          <w:tcPr>
            <w:tcW w:w="7127" w:type="dxa"/>
            <w:vAlign w:val="center"/>
          </w:tcPr>
          <w:p w14:paraId="18CE1C96">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所有算术修正后的投标报价由低到高进行排序，除投标报价明显低于其他通过符合性审查投标人的报价又不能证明其报价合理性的被拒绝外。</w:t>
            </w:r>
          </w:p>
          <w:p w14:paraId="362B7578">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实际得分为：评标基准价/投标报价×20。</w:t>
            </w:r>
          </w:p>
          <w:p w14:paraId="3C46414E">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评标基准价：满足招标文件要求，最低有效报价为评标基准价。（四舍五入后保留小数点后两位）</w:t>
            </w:r>
          </w:p>
          <w:p w14:paraId="6E441677">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标委员会认为投标人的报价明显低于其他通过符合性审查投标人的报价，有可能不能诚信履约的，评标委员会有权要求其在评标现场合理的时间内提供书面说明，必要时提交相关证明材料；投标人如不能证明其报价合理性的，评标委员会应当将其作为无效投标处理。</w:t>
            </w:r>
          </w:p>
        </w:tc>
      </w:tr>
      <w:tr w14:paraId="1EDC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46804A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245" w:type="dxa"/>
            <w:vAlign w:val="center"/>
          </w:tcPr>
          <w:p w14:paraId="42BD2A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类似业绩</w:t>
            </w:r>
          </w:p>
        </w:tc>
        <w:tc>
          <w:tcPr>
            <w:tcW w:w="960" w:type="dxa"/>
            <w:vAlign w:val="center"/>
          </w:tcPr>
          <w:p w14:paraId="6E0634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10分</w:t>
            </w:r>
          </w:p>
        </w:tc>
        <w:tc>
          <w:tcPr>
            <w:tcW w:w="7127" w:type="dxa"/>
            <w:vAlign w:val="center"/>
          </w:tcPr>
          <w:p w14:paraId="7F074DBA">
            <w:pPr>
              <w:widowControl/>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2023年</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月1日至本项目投标截止时间（以合同签订时间为准），投标人承担过与本项目相类似的业绩，每提供 1项得2分，最高得10分。</w:t>
            </w:r>
          </w:p>
          <w:p w14:paraId="563DE090">
            <w:pPr>
              <w:widowControl/>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注：投标人须提供合同复印件并加盖公章附于投标文件，不符合要求或未提供的不得分。</w:t>
            </w:r>
          </w:p>
        </w:tc>
      </w:tr>
      <w:tr w14:paraId="2ED7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1BC5D2D6">
            <w:pPr>
              <w:spacing w:line="360" w:lineRule="auto"/>
              <w:jc w:val="center"/>
              <w:rPr>
                <w:rFonts w:hint="eastAsia" w:ascii="仿宋_GB2312" w:hAnsi="仿宋_GB2312" w:eastAsia="仿宋_GB2312" w:cs="仿宋_GB2312"/>
                <w:color w:val="auto"/>
                <w:sz w:val="24"/>
                <w:highlight w:val="none"/>
                <w:lang w:val="en-US" w:eastAsia="zh-CN"/>
              </w:rPr>
            </w:pPr>
            <w:bookmarkStart w:id="171" w:name="OLE_LINK9"/>
            <w:r>
              <w:rPr>
                <w:rFonts w:hint="eastAsia" w:ascii="仿宋_GB2312" w:hAnsi="仿宋_GB2312" w:eastAsia="仿宋_GB2312" w:cs="仿宋_GB2312"/>
                <w:color w:val="auto"/>
                <w:sz w:val="24"/>
                <w:highlight w:val="none"/>
                <w:lang w:val="en-US" w:eastAsia="zh-CN"/>
              </w:rPr>
              <w:t>3</w:t>
            </w:r>
          </w:p>
        </w:tc>
        <w:tc>
          <w:tcPr>
            <w:tcW w:w="1245" w:type="dxa"/>
            <w:shd w:val="clear" w:color="auto" w:fill="auto"/>
            <w:vAlign w:val="center"/>
          </w:tcPr>
          <w:p w14:paraId="0F36267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服务团队</w:t>
            </w:r>
          </w:p>
        </w:tc>
        <w:tc>
          <w:tcPr>
            <w:tcW w:w="960" w:type="dxa"/>
            <w:shd w:val="clear" w:color="auto" w:fill="auto"/>
            <w:vAlign w:val="center"/>
          </w:tcPr>
          <w:p w14:paraId="2B6DC0E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tc>
        <w:tc>
          <w:tcPr>
            <w:tcW w:w="7127" w:type="dxa"/>
            <w:shd w:val="clear" w:color="auto" w:fill="auto"/>
            <w:vAlign w:val="center"/>
          </w:tcPr>
          <w:p w14:paraId="2C8F11F3">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需提供拟投入本项目服务团队人员配置，内容应包括岗位设置、每一岗位的具体的人员配置等，需提供人员清单，包括但不限于姓名、年龄、本项目中职责、类似项目工作年限等：</w:t>
            </w:r>
          </w:p>
          <w:p w14:paraId="07B0668E">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人员安排和构成合理，配置充足，权责分明，分工明确，成员相关经验丰富，具备很高的能力和行业水准，得1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分； </w:t>
            </w:r>
          </w:p>
          <w:p w14:paraId="155B0FCF">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人员安排较完善，配置基本完整，团队结构较清晰，分工基本明确，部分成员相关经验丰富，得</w:t>
            </w:r>
            <w:r>
              <w:rPr>
                <w:rFonts w:hint="eastAsia" w:ascii="仿宋_GB2312" w:hAnsi="仿宋_GB2312" w:eastAsia="仿宋_GB2312" w:cs="仿宋_GB2312"/>
                <w:color w:val="auto"/>
                <w:sz w:val="24"/>
                <w:highlight w:val="none"/>
                <w:lang w:val="en-US" w:eastAsia="zh-CN"/>
              </w:rPr>
              <w:t>10</w:t>
            </w:r>
            <w:r>
              <w:rPr>
                <w:rFonts w:hint="eastAsia" w:ascii="仿宋_GB2312" w:hAnsi="仿宋_GB2312" w:eastAsia="仿宋_GB2312" w:cs="仿宋_GB2312"/>
                <w:color w:val="auto"/>
                <w:sz w:val="24"/>
                <w:highlight w:val="none"/>
              </w:rPr>
              <w:t xml:space="preserve">分； </w:t>
            </w:r>
          </w:p>
          <w:p w14:paraId="617A30D8">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人员安排和构成</w:t>
            </w:r>
            <w:r>
              <w:rPr>
                <w:rFonts w:hint="eastAsia" w:ascii="仿宋_GB2312" w:hAnsi="仿宋_GB2312" w:eastAsia="仿宋_GB2312" w:cs="仿宋_GB2312"/>
                <w:color w:val="auto"/>
                <w:sz w:val="24"/>
                <w:highlight w:val="none"/>
                <w:lang w:eastAsia="zh-CN"/>
              </w:rPr>
              <w:t>不</w:t>
            </w:r>
            <w:r>
              <w:rPr>
                <w:rFonts w:hint="eastAsia" w:ascii="仿宋_GB2312" w:hAnsi="仿宋_GB2312" w:eastAsia="仿宋_GB2312" w:cs="仿宋_GB2312"/>
                <w:color w:val="auto"/>
                <w:sz w:val="24"/>
                <w:highlight w:val="none"/>
              </w:rPr>
              <w:t>完整，针对性低，责权分明程度一般，成员相关经验少，得</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 xml:space="preserve">分； </w:t>
            </w:r>
          </w:p>
          <w:p w14:paraId="410D1B29">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未提供相应内容不得分。</w:t>
            </w:r>
          </w:p>
        </w:tc>
      </w:tr>
      <w:tr w14:paraId="3BC1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2A1E9E66">
            <w:pPr>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w:t>
            </w:r>
          </w:p>
        </w:tc>
        <w:tc>
          <w:tcPr>
            <w:tcW w:w="1245" w:type="dxa"/>
            <w:shd w:val="clear" w:color="auto" w:fill="auto"/>
          </w:tcPr>
          <w:p w14:paraId="73AF78B5">
            <w:pPr>
              <w:spacing w:line="318" w:lineRule="auto"/>
              <w:rPr>
                <w:rFonts w:ascii="仿宋_GB2312" w:hAnsi="仿宋_GB2312" w:eastAsia="仿宋_GB2312" w:cs="仿宋_GB2312"/>
                <w:color w:val="auto"/>
                <w:highlight w:val="none"/>
              </w:rPr>
            </w:pPr>
          </w:p>
          <w:p w14:paraId="2A29B673">
            <w:pPr>
              <w:spacing w:line="318" w:lineRule="auto"/>
              <w:rPr>
                <w:rFonts w:hint="eastAsia" w:ascii="仿宋_GB2312" w:hAnsi="仿宋_GB2312" w:eastAsia="仿宋_GB2312" w:cs="仿宋_GB2312"/>
                <w:color w:val="auto"/>
                <w:kern w:val="0"/>
                <w:sz w:val="22"/>
                <w:szCs w:val="22"/>
                <w:highlight w:val="none"/>
                <w:lang w:bidi="ar"/>
              </w:rPr>
            </w:pPr>
          </w:p>
          <w:p w14:paraId="2DB6A6CD">
            <w:pPr>
              <w:spacing w:line="318" w:lineRule="auto"/>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2"/>
                <w:szCs w:val="22"/>
                <w:highlight w:val="none"/>
                <w:lang w:bidi="ar"/>
              </w:rPr>
              <w:t>风险评估实施方案</w:t>
            </w:r>
          </w:p>
          <w:p w14:paraId="5329C171">
            <w:pPr>
              <w:pStyle w:val="159"/>
              <w:spacing w:before="212" w:line="228" w:lineRule="auto"/>
              <w:ind w:left="196"/>
              <w:rPr>
                <w:rFonts w:ascii="仿宋_GB2312" w:hAnsi="仿宋_GB2312" w:eastAsia="仿宋_GB2312" w:cs="仿宋_GB2312"/>
                <w:color w:val="auto"/>
                <w:highlight w:val="none"/>
              </w:rPr>
            </w:pPr>
          </w:p>
        </w:tc>
        <w:tc>
          <w:tcPr>
            <w:tcW w:w="960" w:type="dxa"/>
            <w:shd w:val="clear" w:color="auto" w:fill="auto"/>
          </w:tcPr>
          <w:p w14:paraId="03EEE405">
            <w:pPr>
              <w:spacing w:line="282" w:lineRule="auto"/>
              <w:rPr>
                <w:rFonts w:ascii="仿宋_GB2312" w:hAnsi="仿宋_GB2312" w:eastAsia="仿宋_GB2312" w:cs="仿宋_GB2312"/>
                <w:color w:val="auto"/>
                <w:highlight w:val="none"/>
              </w:rPr>
            </w:pPr>
          </w:p>
          <w:p w14:paraId="7EAE50BB">
            <w:pPr>
              <w:spacing w:line="283" w:lineRule="auto"/>
              <w:rPr>
                <w:rFonts w:ascii="仿宋_GB2312" w:hAnsi="仿宋_GB2312" w:eastAsia="仿宋_GB2312" w:cs="仿宋_GB2312"/>
                <w:color w:val="auto"/>
                <w:highlight w:val="none"/>
              </w:rPr>
            </w:pPr>
          </w:p>
          <w:p w14:paraId="005C09A1">
            <w:pPr>
              <w:pStyle w:val="159"/>
              <w:spacing w:before="65" w:line="268" w:lineRule="exact"/>
              <w:rPr>
                <w:rFonts w:ascii="仿宋_GB2312" w:hAnsi="仿宋_GB2312" w:eastAsia="仿宋_GB2312" w:cs="仿宋_GB2312"/>
                <w:color w:val="auto"/>
                <w:highlight w:val="none"/>
                <w:lang w:eastAsia="zh-CN"/>
              </w:rPr>
            </w:pPr>
          </w:p>
          <w:p w14:paraId="5DA7B19D">
            <w:pPr>
              <w:spacing w:line="360" w:lineRule="auto"/>
              <w:jc w:val="center"/>
              <w:rPr>
                <w:rFonts w:ascii="仿宋_GB2312" w:hAnsi="仿宋_GB2312" w:eastAsia="仿宋_GB2312" w:cs="仿宋_GB2312"/>
                <w:snapToGrid w:val="0"/>
                <w:color w:val="auto"/>
                <w:kern w:val="0"/>
                <w:sz w:val="20"/>
                <w:szCs w:val="20"/>
                <w:highlight w:val="none"/>
              </w:rPr>
            </w:pPr>
            <w:r>
              <w:rPr>
                <w:rFonts w:ascii="仿宋_GB2312" w:hAnsi="仿宋_GB2312" w:eastAsia="仿宋_GB2312" w:cs="仿宋_GB2312"/>
                <w:color w:val="auto"/>
                <w:sz w:val="24"/>
                <w:highlight w:val="none"/>
              </w:rPr>
              <w:t>40</w:t>
            </w:r>
            <w:r>
              <w:rPr>
                <w:rFonts w:hint="eastAsia" w:ascii="仿宋_GB2312" w:hAnsi="仿宋_GB2312" w:eastAsia="仿宋_GB2312" w:cs="仿宋_GB2312"/>
                <w:color w:val="auto"/>
                <w:sz w:val="24"/>
                <w:highlight w:val="none"/>
              </w:rPr>
              <w:t>分</w:t>
            </w:r>
          </w:p>
        </w:tc>
        <w:tc>
          <w:tcPr>
            <w:tcW w:w="7127" w:type="dxa"/>
            <w:shd w:val="clear" w:color="auto" w:fill="auto"/>
          </w:tcPr>
          <w:p w14:paraId="5F6358E0">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根据投标人编制的服务方案进行评审，包括但不限于以下内容：①风险评估依据；②评估范围；③评估程序；④评估方法。</w:t>
            </w:r>
          </w:p>
          <w:p w14:paraId="0C0799F5">
            <w:pPr>
              <w:keepNext/>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以上内容全面，目标明确，评估方法科学多样，工作程序逻辑清晰，满足采购人实际情况的</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得</w:t>
            </w:r>
            <w:r>
              <w:rPr>
                <w:rFonts w:hint="eastAsia" w:ascii="仿宋_GB2312" w:hAnsi="仿宋_GB2312" w:eastAsia="仿宋_GB2312" w:cs="仿宋_GB2312"/>
                <w:color w:val="auto"/>
                <w:sz w:val="24"/>
                <w:highlight w:val="none"/>
                <w:lang w:val="en-US" w:eastAsia="zh-CN"/>
              </w:rPr>
              <w:t>40</w:t>
            </w:r>
            <w:r>
              <w:rPr>
                <w:rFonts w:hint="eastAsia" w:ascii="仿宋_GB2312" w:hAnsi="仿宋_GB2312" w:eastAsia="仿宋_GB2312" w:cs="仿宋_GB2312"/>
                <w:color w:val="auto"/>
                <w:sz w:val="24"/>
                <w:highlight w:val="none"/>
              </w:rPr>
              <w:t>分；</w:t>
            </w:r>
          </w:p>
          <w:p w14:paraId="3841B122">
            <w:pPr>
              <w:keepNext/>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内容较全面，目标较明确，有基本的评估方法和工作程序，基本满足采购人要求的</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得</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分；</w:t>
            </w:r>
          </w:p>
          <w:p w14:paraId="607A6915">
            <w:pPr>
              <w:keepNext/>
              <w:snapToGrid w:val="0"/>
              <w:spacing w:line="360" w:lineRule="auto"/>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内容不全，目标模糊，方法单一，程序混乱</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得</w:t>
            </w:r>
            <w:r>
              <w:rPr>
                <w:rFonts w:ascii="仿宋_GB2312" w:hAnsi="仿宋_GB2312" w:eastAsia="仿宋_GB2312" w:cs="仿宋_GB2312"/>
                <w:color w:val="auto"/>
                <w:sz w:val="24"/>
                <w:highlight w:val="none"/>
              </w:rPr>
              <w:t>10</w:t>
            </w:r>
            <w:r>
              <w:rPr>
                <w:rFonts w:hint="eastAsia" w:ascii="仿宋_GB2312" w:hAnsi="仿宋_GB2312" w:eastAsia="仿宋_GB2312" w:cs="仿宋_GB2312"/>
                <w:color w:val="auto"/>
                <w:sz w:val="24"/>
                <w:highlight w:val="none"/>
              </w:rPr>
              <w:t>分</w:t>
            </w:r>
            <w:r>
              <w:rPr>
                <w:rFonts w:hint="eastAsia" w:ascii="仿宋_GB2312" w:hAnsi="仿宋_GB2312" w:eastAsia="仿宋_GB2312" w:cs="仿宋_GB2312"/>
                <w:color w:val="auto"/>
                <w:sz w:val="24"/>
                <w:highlight w:val="none"/>
                <w:lang w:eastAsia="zh-CN"/>
              </w:rPr>
              <w:t>；</w:t>
            </w:r>
          </w:p>
          <w:p w14:paraId="4585DED2">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未提供相应内容不得分。</w:t>
            </w:r>
          </w:p>
        </w:tc>
      </w:tr>
      <w:bookmarkEnd w:id="171"/>
      <w:tr w14:paraId="6B2C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10DBBE7F">
            <w:pPr>
              <w:spacing w:line="360" w:lineRule="auto"/>
              <w:jc w:val="center"/>
              <w:rPr>
                <w:rFonts w:hint="eastAsia" w:ascii="仿宋_GB2312" w:hAnsi="仿宋_GB2312" w:eastAsia="仿宋_GB2312" w:cs="仿宋_GB2312"/>
                <w:color w:val="auto"/>
                <w:sz w:val="24"/>
                <w:highlight w:val="none"/>
                <w:lang w:eastAsia="zh-CN"/>
              </w:rPr>
            </w:pPr>
            <w:bookmarkStart w:id="172" w:name="OLE_LINK11"/>
            <w:r>
              <w:rPr>
                <w:rFonts w:hint="eastAsia" w:ascii="仿宋_GB2312" w:hAnsi="仿宋_GB2312" w:eastAsia="仿宋_GB2312" w:cs="仿宋_GB2312"/>
                <w:color w:val="auto"/>
                <w:sz w:val="24"/>
                <w:highlight w:val="none"/>
                <w:lang w:val="en-US" w:eastAsia="zh-CN"/>
              </w:rPr>
              <w:t>5</w:t>
            </w:r>
          </w:p>
          <w:bookmarkEnd w:id="172"/>
        </w:tc>
        <w:tc>
          <w:tcPr>
            <w:tcW w:w="1245" w:type="dxa"/>
            <w:vAlign w:val="center"/>
          </w:tcPr>
          <w:p w14:paraId="5927CF1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服务质量承诺</w:t>
            </w:r>
          </w:p>
        </w:tc>
        <w:tc>
          <w:tcPr>
            <w:tcW w:w="960" w:type="dxa"/>
            <w:vAlign w:val="center"/>
          </w:tcPr>
          <w:p w14:paraId="6740DE6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分</w:t>
            </w:r>
          </w:p>
        </w:tc>
        <w:tc>
          <w:tcPr>
            <w:tcW w:w="7127" w:type="dxa"/>
            <w:vAlign w:val="center"/>
          </w:tcPr>
          <w:p w14:paraId="3EA1EE77">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供应商针对本项目提供的项目质量保证承诺，包括但不限于：</w:t>
            </w:r>
          </w:p>
          <w:p w14:paraId="6546102A">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①明确的质量控制目标；</w:t>
            </w:r>
            <w:r>
              <w:rPr>
                <w:rFonts w:hint="eastAsia" w:ascii="仿宋_GB2312" w:hAnsi="仿宋_GB2312" w:eastAsia="仿宋_GB2312" w:cs="仿宋_GB2312"/>
                <w:color w:val="auto"/>
                <w:sz w:val="24"/>
                <w:highlight w:val="none"/>
                <w:lang w:eastAsia="zh-CN"/>
              </w:rPr>
              <w:t>②</w:t>
            </w:r>
            <w:r>
              <w:rPr>
                <w:rFonts w:hint="eastAsia" w:ascii="仿宋_GB2312" w:hAnsi="仿宋_GB2312" w:eastAsia="仿宋_GB2312" w:cs="仿宋_GB2312"/>
                <w:color w:val="auto"/>
                <w:sz w:val="24"/>
                <w:highlight w:val="none"/>
              </w:rPr>
              <w:t>切实可行的质量控制措施 (方法) ；</w:t>
            </w:r>
            <w:r>
              <w:rPr>
                <w:rFonts w:hint="eastAsia" w:ascii="仿宋_GB2312" w:hAnsi="仿宋_GB2312" w:eastAsia="仿宋_GB2312" w:cs="仿宋_GB2312"/>
                <w:color w:val="auto"/>
                <w:sz w:val="24"/>
                <w:highlight w:val="none"/>
                <w:lang w:eastAsia="zh-CN"/>
              </w:rPr>
              <w:t>③成果交付质量；④</w:t>
            </w:r>
            <w:r>
              <w:rPr>
                <w:rFonts w:hint="eastAsia" w:ascii="仿宋_GB2312" w:hAnsi="仿宋_GB2312" w:eastAsia="仿宋_GB2312" w:cs="仿宋_GB2312"/>
                <w:color w:val="auto"/>
                <w:sz w:val="24"/>
                <w:highlight w:val="none"/>
              </w:rPr>
              <w:t>保密与合规等内容。</w:t>
            </w:r>
          </w:p>
          <w:p w14:paraId="6B1B3295">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以上内容完善、详细、具体，有针对性，得</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分；</w:t>
            </w:r>
          </w:p>
          <w:p w14:paraId="1D68EB38">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内容较完善、基本满足采购人要求</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得</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分；</w:t>
            </w:r>
          </w:p>
          <w:p w14:paraId="4881C833">
            <w:pPr>
              <w:spacing w:line="360" w:lineRule="auto"/>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内容较简单、针对性较差得</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w:t>
            </w:r>
            <w:r>
              <w:rPr>
                <w:rFonts w:hint="eastAsia" w:ascii="仿宋_GB2312" w:hAnsi="仿宋_GB2312" w:eastAsia="仿宋_GB2312" w:cs="仿宋_GB2312"/>
                <w:color w:val="auto"/>
                <w:sz w:val="24"/>
                <w:highlight w:val="none"/>
                <w:lang w:eastAsia="zh-CN"/>
              </w:rPr>
              <w:t>；</w:t>
            </w:r>
          </w:p>
          <w:p w14:paraId="4BE6F94B">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未提供相应内容不得分。 </w:t>
            </w:r>
          </w:p>
          <w:p w14:paraId="76F68A82">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注：上述承诺须单独出具承诺书，格式自拟，承诺书内容包含上述承诺内容即可，承诺书响应文件中并有供应商公章，未单独出具或未按要求承诺内容或未加盖公章的不予认可。</w:t>
            </w:r>
          </w:p>
        </w:tc>
      </w:tr>
      <w:tr w14:paraId="5514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29781885">
            <w:pPr>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6</w:t>
            </w:r>
          </w:p>
        </w:tc>
        <w:tc>
          <w:tcPr>
            <w:tcW w:w="1245" w:type="dxa"/>
            <w:vAlign w:val="center"/>
          </w:tcPr>
          <w:p w14:paraId="7F5173B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服务进度控制</w:t>
            </w:r>
          </w:p>
        </w:tc>
        <w:tc>
          <w:tcPr>
            <w:tcW w:w="960" w:type="dxa"/>
            <w:vAlign w:val="center"/>
          </w:tcPr>
          <w:p w14:paraId="72D125A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c>
          <w:tcPr>
            <w:tcW w:w="7127" w:type="dxa"/>
            <w:vAlign w:val="center"/>
          </w:tcPr>
          <w:p w14:paraId="5C5FFACC">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供应商针对本项目提供的项目服务进度控制方案，包括但不限于： ①合理的进度安排；②合理的进度保障措施；③对项目响应及时的承诺。</w:t>
            </w:r>
          </w:p>
          <w:p w14:paraId="39272B33">
            <w:pPr>
              <w:keepNext/>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制定了完善的进度计划组织方案，工作安排完备高效、工作效率高，得5分；</w:t>
            </w:r>
          </w:p>
          <w:p w14:paraId="2A003A11">
            <w:pPr>
              <w:keepNext/>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制定了进度计划组织方案，但内容不够周全，得3分；</w:t>
            </w:r>
          </w:p>
          <w:p w14:paraId="4B6DD6F3">
            <w:pPr>
              <w:keepNext/>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方案内容有明显缺失，合理性差，得1分；</w:t>
            </w:r>
          </w:p>
          <w:p w14:paraId="69253FF8">
            <w:pPr>
              <w:keepNext/>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未提供相应内容不得分。</w:t>
            </w:r>
          </w:p>
        </w:tc>
      </w:tr>
    </w:tbl>
    <w:p w14:paraId="7B88C2B6">
      <w:pPr>
        <w:rPr>
          <w:rFonts w:ascii="仿宋" w:hAnsi="仿宋" w:eastAsia="仿宋"/>
          <w:color w:val="auto"/>
          <w:highlight w:val="none"/>
        </w:rPr>
      </w:pPr>
      <w:r>
        <w:rPr>
          <w:rFonts w:hint="eastAsia" w:ascii="仿宋" w:hAnsi="仿宋" w:eastAsia="仿宋"/>
          <w:color w:val="auto"/>
          <w:highlight w:val="none"/>
        </w:rPr>
        <w:br w:type="page"/>
      </w:r>
    </w:p>
    <w:p w14:paraId="48A2BED2">
      <w:pPr>
        <w:pStyle w:val="5"/>
        <w:jc w:val="center"/>
        <w:rPr>
          <w:rFonts w:ascii="仿宋" w:hAnsi="仿宋" w:eastAsia="仿宋"/>
          <w:color w:val="auto"/>
          <w:highlight w:val="none"/>
        </w:rPr>
      </w:pPr>
      <w:bookmarkStart w:id="173" w:name="_Toc26749"/>
      <w:r>
        <w:rPr>
          <w:rFonts w:hint="eastAsia" w:ascii="仿宋" w:hAnsi="仿宋" w:eastAsia="仿宋"/>
          <w:color w:val="auto"/>
          <w:highlight w:val="none"/>
        </w:rPr>
        <w:t>第六章 投标文件格式</w:t>
      </w:r>
      <w:bookmarkEnd w:id="173"/>
    </w:p>
    <w:p w14:paraId="267F5E20">
      <w:pPr>
        <w:spacing w:line="560" w:lineRule="exact"/>
        <w:rPr>
          <w:rFonts w:ascii="仿宋_GB2312" w:hAnsi="仿宋_GB2312" w:eastAsia="仿宋_GB2312" w:cs="仿宋_GB2312"/>
          <w:color w:val="auto"/>
          <w:sz w:val="32"/>
          <w:szCs w:val="32"/>
          <w:highlight w:val="none"/>
        </w:rPr>
      </w:pPr>
    </w:p>
    <w:p w14:paraId="7F4AB14F">
      <w:pPr>
        <w:pStyle w:val="44"/>
        <w:spacing w:before="156"/>
        <w:rPr>
          <w:color w:val="auto"/>
          <w:highlight w:val="none"/>
        </w:rPr>
      </w:pPr>
    </w:p>
    <w:p w14:paraId="6F813309">
      <w:pPr>
        <w:pStyle w:val="6"/>
        <w:rPr>
          <w:rFonts w:ascii="仿宋" w:hAnsi="仿宋" w:eastAsia="仿宋" w:cs="仿宋"/>
          <w:color w:val="auto"/>
          <w:highlight w:val="none"/>
        </w:rPr>
      </w:pPr>
    </w:p>
    <w:p w14:paraId="4A8FCC8A">
      <w:pPr>
        <w:spacing w:line="560" w:lineRule="exact"/>
        <w:jc w:val="center"/>
        <w:rPr>
          <w:rFonts w:ascii="仿宋" w:hAnsi="仿宋" w:eastAsia="仿宋" w:cs="仿宋"/>
          <w:b/>
          <w:color w:val="auto"/>
          <w:sz w:val="32"/>
          <w:szCs w:val="32"/>
          <w:highlight w:val="none"/>
        </w:rPr>
      </w:pPr>
      <w:r>
        <w:rPr>
          <w:rFonts w:hint="eastAsia" w:ascii="仿宋" w:hAnsi="仿宋" w:eastAsia="仿宋" w:cs="仿宋"/>
          <w:bCs/>
          <w:color w:val="auto"/>
          <w:sz w:val="32"/>
          <w:szCs w:val="32"/>
          <w:highlight w:val="none"/>
        </w:rPr>
        <w:t>（封  面）</w:t>
      </w:r>
    </w:p>
    <w:p w14:paraId="09A6B61C">
      <w:pPr>
        <w:spacing w:line="560" w:lineRule="exact"/>
        <w:ind w:firstLine="3520" w:firstLineChars="1100"/>
        <w:rPr>
          <w:rFonts w:ascii="仿宋" w:hAnsi="仿宋" w:eastAsia="仿宋" w:cs="仿宋"/>
          <w:bCs/>
          <w:color w:val="auto"/>
          <w:sz w:val="32"/>
          <w:szCs w:val="32"/>
          <w:highlight w:val="none"/>
        </w:rPr>
      </w:pPr>
    </w:p>
    <w:p w14:paraId="5BA4F9D5">
      <w:pPr>
        <w:spacing w:line="560" w:lineRule="exact"/>
        <w:rPr>
          <w:rFonts w:ascii="仿宋" w:hAnsi="仿宋" w:eastAsia="仿宋" w:cs="仿宋"/>
          <w:bCs/>
          <w:color w:val="auto"/>
          <w:sz w:val="32"/>
          <w:szCs w:val="32"/>
          <w:highlight w:val="none"/>
        </w:rPr>
      </w:pPr>
    </w:p>
    <w:p w14:paraId="631139EB">
      <w:pPr>
        <w:spacing w:line="560" w:lineRule="exact"/>
        <w:rPr>
          <w:rFonts w:ascii="仿宋" w:hAnsi="仿宋" w:eastAsia="仿宋" w:cs="仿宋"/>
          <w:bCs/>
          <w:color w:val="auto"/>
          <w:sz w:val="32"/>
          <w:szCs w:val="32"/>
          <w:highlight w:val="none"/>
        </w:rPr>
      </w:pPr>
    </w:p>
    <w:p w14:paraId="26E7C889">
      <w:pPr>
        <w:spacing w:line="560" w:lineRule="exact"/>
        <w:rPr>
          <w:rFonts w:ascii="仿宋" w:hAnsi="仿宋" w:eastAsia="仿宋" w:cs="仿宋"/>
          <w:bCs/>
          <w:color w:val="auto"/>
          <w:sz w:val="32"/>
          <w:szCs w:val="32"/>
          <w:highlight w:val="none"/>
        </w:rPr>
      </w:pPr>
    </w:p>
    <w:p w14:paraId="2504F348">
      <w:pPr>
        <w:spacing w:before="312" w:beforeLines="100" w:after="312" w:afterLines="100" w:line="560" w:lineRule="exact"/>
        <w:jc w:val="center"/>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投  标  文  件</w:t>
      </w:r>
    </w:p>
    <w:p w14:paraId="49F5DDE2">
      <w:pPr>
        <w:spacing w:line="560" w:lineRule="exact"/>
        <w:rPr>
          <w:rFonts w:ascii="仿宋" w:hAnsi="仿宋" w:eastAsia="仿宋" w:cs="仿宋"/>
          <w:bCs/>
          <w:color w:val="auto"/>
          <w:sz w:val="32"/>
          <w:szCs w:val="32"/>
          <w:highlight w:val="none"/>
        </w:rPr>
      </w:pPr>
    </w:p>
    <w:p w14:paraId="784E00F0">
      <w:pPr>
        <w:spacing w:line="560" w:lineRule="exact"/>
        <w:rPr>
          <w:rFonts w:ascii="仿宋" w:hAnsi="仿宋" w:eastAsia="仿宋" w:cs="仿宋"/>
          <w:bCs/>
          <w:color w:val="auto"/>
          <w:sz w:val="32"/>
          <w:szCs w:val="32"/>
          <w:highlight w:val="none"/>
        </w:rPr>
      </w:pPr>
    </w:p>
    <w:p w14:paraId="6386EF39">
      <w:pPr>
        <w:spacing w:line="560" w:lineRule="exact"/>
        <w:ind w:firstLine="2560" w:firstLineChars="800"/>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项目名称:</w:t>
      </w:r>
    </w:p>
    <w:p w14:paraId="4A94373F">
      <w:pPr>
        <w:spacing w:line="560" w:lineRule="exact"/>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 xml:space="preserve">               </w:t>
      </w:r>
    </w:p>
    <w:p w14:paraId="3318480D">
      <w:pPr>
        <w:spacing w:line="560" w:lineRule="exact"/>
        <w:rPr>
          <w:rFonts w:ascii="仿宋" w:hAnsi="仿宋" w:eastAsia="仿宋" w:cs="仿宋"/>
          <w:bCs/>
          <w:color w:val="auto"/>
          <w:sz w:val="32"/>
          <w:szCs w:val="32"/>
          <w:highlight w:val="none"/>
        </w:rPr>
      </w:pPr>
    </w:p>
    <w:p w14:paraId="4590DE3C">
      <w:pPr>
        <w:spacing w:line="560" w:lineRule="exact"/>
        <w:rPr>
          <w:rFonts w:ascii="仿宋" w:hAnsi="仿宋" w:eastAsia="仿宋" w:cs="仿宋"/>
          <w:bCs/>
          <w:color w:val="auto"/>
          <w:sz w:val="32"/>
          <w:szCs w:val="32"/>
          <w:highlight w:val="none"/>
        </w:rPr>
      </w:pPr>
    </w:p>
    <w:p w14:paraId="61AA7086">
      <w:pPr>
        <w:spacing w:line="560" w:lineRule="exact"/>
        <w:rPr>
          <w:rFonts w:ascii="仿宋" w:hAnsi="仿宋" w:eastAsia="仿宋" w:cs="仿宋"/>
          <w:bCs/>
          <w:color w:val="auto"/>
          <w:sz w:val="32"/>
          <w:szCs w:val="32"/>
          <w:highlight w:val="none"/>
        </w:rPr>
      </w:pPr>
    </w:p>
    <w:p w14:paraId="62AB9E84">
      <w:pPr>
        <w:spacing w:line="560" w:lineRule="exact"/>
        <w:rPr>
          <w:rFonts w:ascii="仿宋" w:hAnsi="仿宋" w:eastAsia="仿宋" w:cs="仿宋"/>
          <w:bCs/>
          <w:color w:val="auto"/>
          <w:sz w:val="32"/>
          <w:szCs w:val="32"/>
          <w:highlight w:val="none"/>
        </w:rPr>
      </w:pPr>
    </w:p>
    <w:p w14:paraId="6CED25FC">
      <w:pPr>
        <w:spacing w:line="560" w:lineRule="exact"/>
        <w:jc w:val="center"/>
        <w:rPr>
          <w:rFonts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供 应 商：（盖章）</w:t>
      </w:r>
    </w:p>
    <w:p w14:paraId="60D7344C">
      <w:pPr>
        <w:spacing w:line="560" w:lineRule="exact"/>
        <w:jc w:val="center"/>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年   月   日</w:t>
      </w:r>
    </w:p>
    <w:p w14:paraId="3AFE3C46">
      <w:pPr>
        <w:pStyle w:val="44"/>
        <w:spacing w:before="156"/>
        <w:rPr>
          <w:color w:val="auto"/>
          <w:highlight w:val="none"/>
        </w:rPr>
      </w:pPr>
    </w:p>
    <w:p w14:paraId="465B1C27">
      <w:pPr>
        <w:pStyle w:val="6"/>
        <w:rPr>
          <w:rFonts w:ascii="仿宋_GB2312" w:hAnsi="仿宋_GB2312" w:eastAsia="仿宋_GB2312" w:cs="仿宋_GB2312"/>
          <w:color w:val="auto"/>
          <w:sz w:val="32"/>
          <w:szCs w:val="32"/>
          <w:highlight w:val="none"/>
        </w:rPr>
      </w:pPr>
    </w:p>
    <w:p w14:paraId="3053CC07">
      <w:pPr>
        <w:pStyle w:val="5"/>
        <w:jc w:val="center"/>
        <w:rPr>
          <w:rFonts w:ascii="仿宋" w:hAnsi="仿宋" w:eastAsia="仿宋" w:cs="仿宋"/>
          <w:color w:val="auto"/>
          <w:sz w:val="28"/>
          <w:szCs w:val="28"/>
          <w:highlight w:val="none"/>
        </w:rPr>
      </w:pPr>
      <w:bookmarkStart w:id="174" w:name="_Toc4715"/>
      <w:r>
        <w:rPr>
          <w:rFonts w:hint="eastAsia" w:ascii="仿宋" w:hAnsi="仿宋" w:eastAsia="仿宋" w:cs="仿宋"/>
          <w:color w:val="auto"/>
          <w:sz w:val="28"/>
          <w:szCs w:val="28"/>
          <w:highlight w:val="none"/>
        </w:rPr>
        <w:t>（一）投标函</w:t>
      </w:r>
      <w:bookmarkEnd w:id="174"/>
    </w:p>
    <w:p w14:paraId="19C6E370">
      <w:pPr>
        <w:spacing w:line="56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致：宁夏医科大学</w:t>
      </w:r>
    </w:p>
    <w:p w14:paraId="7E1010AE">
      <w:pPr>
        <w:spacing w:line="560" w:lineRule="exact"/>
        <w:ind w:firstLine="600"/>
        <w:rPr>
          <w:rFonts w:ascii="仿宋" w:hAnsi="仿宋" w:eastAsia="仿宋" w:cs="仿宋"/>
          <w:color w:val="auto"/>
          <w:sz w:val="24"/>
          <w:highlight w:val="none"/>
        </w:rPr>
      </w:pPr>
      <w:r>
        <w:rPr>
          <w:rFonts w:hint="eastAsia" w:ascii="仿宋" w:hAnsi="仿宋" w:eastAsia="仿宋" w:cs="仿宋"/>
          <w:color w:val="auto"/>
          <w:sz w:val="24"/>
          <w:highlight w:val="none"/>
        </w:rPr>
        <w:t>我（单位/本人，以下统称我方）自愿参加</w:t>
      </w:r>
      <w:r>
        <w:rPr>
          <w:rFonts w:hint="eastAsia" w:ascii="仿宋" w:hAnsi="仿宋" w:eastAsia="仿宋" w:cs="仿宋"/>
          <w:color w:val="auto"/>
          <w:sz w:val="24"/>
          <w:highlight w:val="none"/>
          <w:u w:val="single"/>
        </w:rPr>
        <w:t>宁夏医科大学内部控制风险评估项目</w:t>
      </w:r>
      <w:r>
        <w:rPr>
          <w:rFonts w:hint="eastAsia" w:ascii="仿宋" w:hAnsi="仿宋" w:eastAsia="仿宋" w:cs="仿宋"/>
          <w:color w:val="auto"/>
          <w:sz w:val="24"/>
          <w:highlight w:val="none"/>
        </w:rPr>
        <w:t>,并做出如下承诺：</w:t>
      </w:r>
    </w:p>
    <w:p w14:paraId="495CF0FA">
      <w:pPr>
        <w:spacing w:line="56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bCs/>
          <w:color w:val="auto"/>
          <w:sz w:val="24"/>
          <w:highlight w:val="none"/>
        </w:rPr>
        <w:t>我方授权(姓名和职务)代表我方</w:t>
      </w:r>
      <w:r>
        <w:rPr>
          <w:rFonts w:hint="eastAsia" w:ascii="仿宋" w:hAnsi="仿宋" w:eastAsia="仿宋" w:cs="仿宋"/>
          <w:bCs/>
          <w:color w:val="auto"/>
          <w:sz w:val="24"/>
          <w:highlight w:val="none"/>
          <w:u w:val="single"/>
        </w:rPr>
        <w:t xml:space="preserve">           （投标人</w:t>
      </w:r>
      <w:r>
        <w:rPr>
          <w:rFonts w:hint="eastAsia" w:ascii="仿宋" w:hAnsi="仿宋" w:eastAsia="仿宋" w:cs="仿宋"/>
          <w:bCs/>
          <w:color w:val="auto"/>
          <w:sz w:val="24"/>
          <w:highlight w:val="none"/>
        </w:rPr>
        <w:t>的名称）全权处理本项目的有关事宜。</w:t>
      </w:r>
    </w:p>
    <w:p w14:paraId="0D9573C6">
      <w:pPr>
        <w:spacing w:line="56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二、我方愿意按照采购文件规定的各项要求，向采购人提供所需的服务。</w:t>
      </w:r>
    </w:p>
    <w:p w14:paraId="39873B50">
      <w:pPr>
        <w:spacing w:line="56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三、我方已详细审查全部采购文件，包括所有补充通知（如有），完全理解并同意放弃对这方面有不明、误解的权利。</w:t>
      </w:r>
    </w:p>
    <w:p w14:paraId="13FB3160">
      <w:pPr>
        <w:pStyle w:val="40"/>
        <w:spacing w:line="560" w:lineRule="exact"/>
        <w:ind w:firstLine="480"/>
        <w:rPr>
          <w:rFonts w:ascii="仿宋" w:hAnsi="仿宋" w:eastAsia="仿宋" w:cs="仿宋"/>
          <w:bCs/>
          <w:color w:val="auto"/>
          <w:sz w:val="24"/>
          <w:highlight w:val="none"/>
        </w:rPr>
      </w:pPr>
      <w:r>
        <w:rPr>
          <w:rFonts w:hint="eastAsia" w:ascii="仿宋" w:hAnsi="仿宋" w:eastAsia="仿宋" w:cs="仿宋"/>
          <w:bCs/>
          <w:color w:val="auto"/>
          <w:sz w:val="24"/>
          <w:szCs w:val="24"/>
          <w:highlight w:val="none"/>
        </w:rPr>
        <w:t>四、</w:t>
      </w:r>
      <w:r>
        <w:rPr>
          <w:rFonts w:hint="eastAsia" w:ascii="仿宋" w:hAnsi="仿宋" w:eastAsia="仿宋" w:cs="仿宋"/>
          <w:bCs/>
          <w:color w:val="auto"/>
          <w:sz w:val="24"/>
          <w:highlight w:val="none"/>
        </w:rPr>
        <w:t>我方愿意按照采购文件的要求，提供与项目有关的所有文件资料，并保证我方所有文件资料的合法性、真实性、完整性和准确性。</w:t>
      </w:r>
    </w:p>
    <w:p w14:paraId="26A1E407">
      <w:pPr>
        <w:spacing w:line="56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五、一旦我方被确定为中标供应商，我方将严格履行合同规定的责任和义务，保证于合同签字生效后按照约定时间完成项目，并交付采购人验收。 </w:t>
      </w:r>
    </w:p>
    <w:p w14:paraId="2BB5A434">
      <w:pPr>
        <w:spacing w:line="560" w:lineRule="exact"/>
        <w:jc w:val="left"/>
        <w:rPr>
          <w:rFonts w:ascii="仿宋" w:hAnsi="仿宋" w:eastAsia="仿宋" w:cs="仿宋"/>
          <w:color w:val="auto"/>
          <w:sz w:val="24"/>
          <w:highlight w:val="none"/>
        </w:rPr>
      </w:pPr>
    </w:p>
    <w:p w14:paraId="7269398D">
      <w:pPr>
        <w:spacing w:line="360" w:lineRule="auto"/>
        <w:ind w:left="1413" w:leftChars="273" w:hanging="840" w:hangingChars="350"/>
        <w:rPr>
          <w:rFonts w:ascii="仿宋" w:hAnsi="仿宋" w:eastAsia="仿宋" w:cs="仿宋"/>
          <w:color w:val="auto"/>
          <w:sz w:val="24"/>
          <w:highlight w:val="none"/>
        </w:rPr>
      </w:pP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（盖公章）</w:t>
      </w:r>
    </w:p>
    <w:p w14:paraId="49D1CE2F">
      <w:pPr>
        <w:spacing w:line="360" w:lineRule="auto"/>
        <w:ind w:left="1620" w:leftChars="257" w:hanging="108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10DFB393">
      <w:pPr>
        <w:spacing w:line="360" w:lineRule="auto"/>
        <w:ind w:left="1620" w:leftChars="257" w:hanging="1080"/>
        <w:rPr>
          <w:rFonts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70F8C15A">
      <w:pPr>
        <w:spacing w:line="360" w:lineRule="auto"/>
        <w:ind w:left="1620" w:leftChars="257" w:hanging="1080"/>
        <w:rPr>
          <w:rFonts w:ascii="仿宋" w:hAnsi="仿宋" w:eastAsia="仿宋" w:cs="仿宋"/>
          <w:color w:val="auto"/>
          <w:sz w:val="24"/>
          <w:highlight w:val="none"/>
        </w:rPr>
      </w:pPr>
      <w:r>
        <w:rPr>
          <w:rFonts w:hint="eastAsia" w:ascii="仿宋" w:hAnsi="仿宋" w:eastAsia="仿宋" w:cs="仿宋"/>
          <w:color w:val="auto"/>
          <w:sz w:val="24"/>
          <w:highlight w:val="none"/>
        </w:rPr>
        <w:t>电子邮件：</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121E8752">
      <w:pPr>
        <w:spacing w:line="360" w:lineRule="auto"/>
        <w:ind w:left="1620" w:leftChars="257" w:hanging="1080"/>
        <w:rPr>
          <w:rFonts w:ascii="仿宋" w:hAnsi="仿宋" w:eastAsia="仿宋" w:cs="仿宋"/>
          <w:color w:val="auto"/>
          <w:sz w:val="24"/>
          <w:highlight w:val="none"/>
        </w:rPr>
      </w:pPr>
      <w:r>
        <w:rPr>
          <w:rFonts w:hint="eastAsia" w:ascii="仿宋" w:hAnsi="仿宋" w:eastAsia="仿宋" w:cs="仿宋"/>
          <w:color w:val="auto"/>
          <w:sz w:val="24"/>
          <w:highlight w:val="none"/>
        </w:rPr>
        <w:t>法定代表人或委托代理人(签字或签章)：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3839FE60">
      <w:pPr>
        <w:pStyle w:val="6"/>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23E07B73">
      <w:pPr>
        <w:pStyle w:val="6"/>
        <w:ind w:firstLine="0"/>
        <w:rPr>
          <w:rFonts w:ascii="仿宋" w:hAnsi="仿宋" w:eastAsia="仿宋" w:cs="仿宋"/>
          <w:color w:val="auto"/>
          <w:sz w:val="24"/>
          <w:highlight w:val="none"/>
          <w:u w:val="single"/>
        </w:rPr>
      </w:pPr>
    </w:p>
    <w:p w14:paraId="75ECA4B2">
      <w:pPr>
        <w:pStyle w:val="2"/>
        <w:ind w:left="0" w:leftChars="0" w:firstLine="0" w:firstLineChars="0"/>
        <w:rPr>
          <w:color w:val="auto"/>
          <w:highlight w:val="none"/>
        </w:rPr>
      </w:pPr>
    </w:p>
    <w:p w14:paraId="12772A2B">
      <w:pPr>
        <w:pStyle w:val="2"/>
        <w:ind w:left="0" w:leftChars="0" w:firstLine="0" w:firstLineChars="0"/>
        <w:rPr>
          <w:color w:val="auto"/>
          <w:highlight w:val="none"/>
        </w:rPr>
      </w:pPr>
    </w:p>
    <w:p w14:paraId="00995D83">
      <w:pPr>
        <w:pStyle w:val="5"/>
        <w:jc w:val="center"/>
        <w:rPr>
          <w:rFonts w:ascii="仿宋" w:hAnsi="仿宋" w:eastAsia="仿宋" w:cs="仿宋"/>
          <w:bCs w:val="0"/>
          <w:color w:val="auto"/>
          <w:sz w:val="24"/>
          <w:highlight w:val="none"/>
        </w:rPr>
      </w:pPr>
      <w:bookmarkStart w:id="175" w:name="_Toc4352"/>
      <w:r>
        <w:rPr>
          <w:rFonts w:hint="eastAsia" w:ascii="仿宋" w:hAnsi="仿宋" w:eastAsia="仿宋" w:cs="仿宋"/>
          <w:color w:val="auto"/>
          <w:sz w:val="28"/>
          <w:szCs w:val="28"/>
          <w:highlight w:val="none"/>
        </w:rPr>
        <w:t>（二）开标一览表</w:t>
      </w:r>
      <w:bookmarkEnd w:id="175"/>
    </w:p>
    <w:tbl>
      <w:tblPr>
        <w:tblStyle w:val="23"/>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418"/>
      </w:tblGrid>
      <w:tr w14:paraId="312A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16A50C4F">
            <w:pPr>
              <w:spacing w:line="5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项目名称</w:t>
            </w:r>
          </w:p>
        </w:tc>
        <w:tc>
          <w:tcPr>
            <w:tcW w:w="7418" w:type="dxa"/>
            <w:tcBorders>
              <w:top w:val="double" w:color="auto" w:sz="4" w:space="0"/>
              <w:right w:val="double" w:color="auto" w:sz="4" w:space="0"/>
            </w:tcBorders>
            <w:vAlign w:val="center"/>
          </w:tcPr>
          <w:p w14:paraId="54D60280">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宁夏医科大学内部控制风险评估项目</w:t>
            </w:r>
          </w:p>
        </w:tc>
      </w:tr>
      <w:tr w14:paraId="534E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14:paraId="4EFA15FD">
            <w:pPr>
              <w:spacing w:line="5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投标价格</w:t>
            </w:r>
          </w:p>
        </w:tc>
        <w:tc>
          <w:tcPr>
            <w:tcW w:w="7418" w:type="dxa"/>
            <w:tcBorders>
              <w:right w:val="double" w:color="auto" w:sz="4" w:space="0"/>
            </w:tcBorders>
            <w:vAlign w:val="center"/>
          </w:tcPr>
          <w:p w14:paraId="6B2A5D67">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人民币小写(元):</w:t>
            </w:r>
          </w:p>
        </w:tc>
      </w:tr>
      <w:tr w14:paraId="1AE7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14:paraId="7ACADE56">
            <w:pPr>
              <w:spacing w:line="560" w:lineRule="exact"/>
              <w:jc w:val="center"/>
              <w:rPr>
                <w:rFonts w:ascii="仿宋" w:hAnsi="仿宋" w:eastAsia="仿宋" w:cs="仿宋"/>
                <w:bCs/>
                <w:color w:val="auto"/>
                <w:sz w:val="24"/>
                <w:highlight w:val="none"/>
              </w:rPr>
            </w:pPr>
          </w:p>
        </w:tc>
        <w:tc>
          <w:tcPr>
            <w:tcW w:w="7418" w:type="dxa"/>
            <w:tcBorders>
              <w:right w:val="double" w:color="auto" w:sz="4" w:space="0"/>
            </w:tcBorders>
            <w:vAlign w:val="center"/>
          </w:tcPr>
          <w:p w14:paraId="53C07F7A">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人民币大写:</w:t>
            </w:r>
          </w:p>
        </w:tc>
      </w:tr>
      <w:tr w14:paraId="241A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231" w:type="dxa"/>
            <w:tcBorders>
              <w:left w:val="double" w:color="auto" w:sz="4" w:space="0"/>
            </w:tcBorders>
            <w:vAlign w:val="center"/>
          </w:tcPr>
          <w:p w14:paraId="38F85DAA">
            <w:pPr>
              <w:spacing w:line="5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服务期限</w:t>
            </w:r>
          </w:p>
        </w:tc>
        <w:tc>
          <w:tcPr>
            <w:tcW w:w="7418" w:type="dxa"/>
            <w:tcBorders>
              <w:right w:val="double" w:color="auto" w:sz="4" w:space="0"/>
            </w:tcBorders>
            <w:vAlign w:val="center"/>
          </w:tcPr>
          <w:p w14:paraId="2B2E23A4">
            <w:pPr>
              <w:spacing w:line="560" w:lineRule="exact"/>
              <w:rPr>
                <w:rFonts w:ascii="仿宋" w:hAnsi="仿宋" w:eastAsia="仿宋" w:cs="仿宋"/>
                <w:bCs/>
                <w:color w:val="auto"/>
                <w:sz w:val="24"/>
                <w:highlight w:val="none"/>
              </w:rPr>
            </w:pPr>
          </w:p>
        </w:tc>
      </w:tr>
      <w:tr w14:paraId="152A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231" w:type="dxa"/>
            <w:tcBorders>
              <w:left w:val="double" w:color="auto" w:sz="4" w:space="0"/>
            </w:tcBorders>
            <w:vAlign w:val="center"/>
          </w:tcPr>
          <w:p w14:paraId="1927D7BA">
            <w:pPr>
              <w:spacing w:line="5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服务地点</w:t>
            </w:r>
          </w:p>
        </w:tc>
        <w:tc>
          <w:tcPr>
            <w:tcW w:w="7418" w:type="dxa"/>
            <w:tcBorders>
              <w:right w:val="double" w:color="auto" w:sz="4" w:space="0"/>
            </w:tcBorders>
            <w:vAlign w:val="center"/>
          </w:tcPr>
          <w:p w14:paraId="288BC5A6">
            <w:pPr>
              <w:spacing w:line="560" w:lineRule="exact"/>
              <w:rPr>
                <w:rFonts w:ascii="仿宋" w:hAnsi="仿宋" w:eastAsia="仿宋" w:cs="仿宋"/>
                <w:bCs/>
                <w:color w:val="auto"/>
                <w:sz w:val="24"/>
                <w:highlight w:val="none"/>
              </w:rPr>
            </w:pPr>
          </w:p>
        </w:tc>
      </w:tr>
      <w:tr w14:paraId="7CCD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231" w:type="dxa"/>
            <w:tcBorders>
              <w:left w:val="double" w:color="auto" w:sz="4" w:space="0"/>
            </w:tcBorders>
            <w:vAlign w:val="center"/>
          </w:tcPr>
          <w:p w14:paraId="12975BDC">
            <w:pPr>
              <w:spacing w:line="560" w:lineRule="exact"/>
              <w:jc w:val="center"/>
              <w:rPr>
                <w:rFonts w:ascii="仿宋" w:hAnsi="仿宋" w:eastAsia="仿宋" w:cs="仿宋"/>
                <w:bCs/>
                <w:color w:val="auto"/>
                <w:sz w:val="24"/>
                <w:highlight w:val="none"/>
              </w:rPr>
            </w:pPr>
            <w:r>
              <w:rPr>
                <w:rFonts w:eastAsia="仿宋"/>
                <w:color w:val="auto"/>
                <w:kern w:val="0"/>
                <w:sz w:val="24"/>
                <w:highlight w:val="none"/>
              </w:rPr>
              <w:t>投标有效期</w:t>
            </w:r>
          </w:p>
        </w:tc>
        <w:tc>
          <w:tcPr>
            <w:tcW w:w="7418" w:type="dxa"/>
            <w:tcBorders>
              <w:right w:val="double" w:color="auto" w:sz="4" w:space="0"/>
            </w:tcBorders>
            <w:vAlign w:val="center"/>
          </w:tcPr>
          <w:p w14:paraId="53ABB1B4">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提交投标文件截止之日起60日历日</w:t>
            </w:r>
          </w:p>
        </w:tc>
      </w:tr>
      <w:tr w14:paraId="1667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14:paraId="687939A4">
            <w:pPr>
              <w:spacing w:line="5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备  注</w:t>
            </w:r>
          </w:p>
        </w:tc>
        <w:tc>
          <w:tcPr>
            <w:tcW w:w="7418" w:type="dxa"/>
            <w:tcBorders>
              <w:bottom w:val="double" w:color="auto" w:sz="4" w:space="0"/>
              <w:right w:val="double" w:color="auto" w:sz="4" w:space="0"/>
            </w:tcBorders>
            <w:vAlign w:val="center"/>
          </w:tcPr>
          <w:p w14:paraId="0DA53826">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响应价格为供应商考虑各种因素（含折扣、优惠等）的最终报价。</w:t>
            </w:r>
          </w:p>
        </w:tc>
      </w:tr>
    </w:tbl>
    <w:p w14:paraId="277E862E">
      <w:pPr>
        <w:pStyle w:val="44"/>
        <w:spacing w:before="156"/>
        <w:rPr>
          <w:color w:val="auto"/>
          <w:highlight w:val="none"/>
        </w:rPr>
      </w:pPr>
    </w:p>
    <w:p w14:paraId="3BEE5A7E">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服务商：（盖章）</w:t>
      </w:r>
    </w:p>
    <w:p w14:paraId="42126E10">
      <w:pPr>
        <w:spacing w:line="5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投标日期：年     月     日</w:t>
      </w:r>
    </w:p>
    <w:p w14:paraId="581530EE">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br w:type="page"/>
      </w:r>
    </w:p>
    <w:p w14:paraId="4003017D">
      <w:pPr>
        <w:pStyle w:val="20"/>
        <w:rPr>
          <w:rFonts w:ascii="仿宋" w:hAnsi="仿宋"/>
          <w:color w:val="auto"/>
          <w:highlight w:val="none"/>
        </w:rPr>
      </w:pPr>
      <w:bookmarkStart w:id="176" w:name="_Toc29708"/>
      <w:bookmarkStart w:id="177" w:name="_Toc353786559"/>
      <w:bookmarkStart w:id="178" w:name="_Toc12856"/>
      <w:r>
        <w:rPr>
          <w:rFonts w:hint="eastAsia" w:ascii="仿宋" w:hAnsi="仿宋"/>
          <w:color w:val="auto"/>
          <w:highlight w:val="none"/>
        </w:rPr>
        <w:t>（三）法定代表人身份证明</w:t>
      </w:r>
      <w:bookmarkEnd w:id="176"/>
      <w:bookmarkEnd w:id="177"/>
    </w:p>
    <w:p w14:paraId="4E5CE8E2">
      <w:pPr>
        <w:rPr>
          <w:rFonts w:ascii="仿宋" w:hAnsi="仿宋" w:eastAsia="仿宋"/>
          <w:color w:val="auto"/>
          <w:sz w:val="24"/>
          <w:highlight w:val="none"/>
        </w:rPr>
      </w:pPr>
    </w:p>
    <w:p w14:paraId="5D5F0316">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投标人名称：</w:t>
      </w:r>
    </w:p>
    <w:p w14:paraId="21064CCB">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单位性质：</w:t>
      </w:r>
    </w:p>
    <w:p w14:paraId="09BCCD82">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地址：</w:t>
      </w:r>
    </w:p>
    <w:p w14:paraId="2B24ABD3">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成立时间：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年 </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p>
    <w:p w14:paraId="38E08EF3">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经营期限：</w:t>
      </w:r>
    </w:p>
    <w:p w14:paraId="19D8DD31">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姓名：性别：年龄：职务：</w:t>
      </w:r>
    </w:p>
    <w:p w14:paraId="2FAA5D45">
      <w:pPr>
        <w:spacing w:line="6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系（投标人名称）的法定代表人。</w:t>
      </w:r>
    </w:p>
    <w:p w14:paraId="35C8E9F2">
      <w:pPr>
        <w:spacing w:line="600" w:lineRule="exact"/>
        <w:ind w:firstLine="960" w:firstLineChars="400"/>
        <w:rPr>
          <w:rFonts w:ascii="仿宋" w:hAnsi="仿宋" w:eastAsia="仿宋"/>
          <w:color w:val="auto"/>
          <w:sz w:val="24"/>
          <w:highlight w:val="none"/>
        </w:rPr>
      </w:pPr>
      <w:r>
        <w:rPr>
          <w:rFonts w:hint="eastAsia" w:ascii="仿宋" w:hAnsi="仿宋" w:eastAsia="仿宋"/>
          <w:color w:val="auto"/>
          <w:sz w:val="24"/>
          <w:highlight w:val="none"/>
        </w:rPr>
        <w:t>特此证明。</w:t>
      </w:r>
    </w:p>
    <w:p w14:paraId="77C3C67F">
      <w:pPr>
        <w:spacing w:line="600" w:lineRule="exact"/>
        <w:ind w:firstLine="3600" w:firstLineChars="1500"/>
        <w:rPr>
          <w:rFonts w:ascii="仿宋" w:hAnsi="仿宋" w:eastAsia="仿宋"/>
          <w:color w:val="auto"/>
          <w:sz w:val="24"/>
          <w:highlight w:val="none"/>
        </w:rPr>
      </w:pPr>
    </w:p>
    <w:p w14:paraId="2CA2F152">
      <w:pPr>
        <w:rPr>
          <w:rFonts w:ascii="仿宋" w:hAnsi="仿宋" w:eastAsia="仿宋"/>
          <w:color w:val="auto"/>
          <w:highlight w:val="none"/>
        </w:rPr>
      </w:pPr>
    </w:p>
    <w:p w14:paraId="0210A1F2">
      <w:pPr>
        <w:spacing w:line="600" w:lineRule="exact"/>
        <w:ind w:firstLine="3600" w:firstLineChars="1500"/>
        <w:rPr>
          <w:rFonts w:ascii="仿宋" w:hAnsi="仿宋" w:eastAsia="仿宋"/>
          <w:color w:val="auto"/>
          <w:sz w:val="24"/>
          <w:highlight w:val="none"/>
        </w:rPr>
      </w:pPr>
    </w:p>
    <w:p w14:paraId="53217B82">
      <w:pPr>
        <w:spacing w:line="600" w:lineRule="exact"/>
        <w:ind w:firstLine="3600" w:firstLineChars="1500"/>
        <w:rPr>
          <w:rFonts w:ascii="仿宋" w:hAnsi="仿宋" w:eastAsia="仿宋"/>
          <w:color w:val="auto"/>
          <w:sz w:val="24"/>
          <w:highlight w:val="none"/>
        </w:rPr>
      </w:pPr>
    </w:p>
    <w:p w14:paraId="468C05B7">
      <w:pPr>
        <w:spacing w:line="600" w:lineRule="exact"/>
        <w:ind w:firstLine="3600" w:firstLineChars="1500"/>
        <w:rPr>
          <w:rFonts w:ascii="仿宋" w:hAnsi="仿宋" w:eastAsia="仿宋"/>
          <w:color w:val="auto"/>
          <w:sz w:val="24"/>
          <w:highlight w:val="none"/>
        </w:rPr>
      </w:pPr>
    </w:p>
    <w:p w14:paraId="04C42602">
      <w:pPr>
        <w:spacing w:line="600" w:lineRule="exact"/>
        <w:ind w:firstLine="3600" w:firstLineChars="1500"/>
        <w:rPr>
          <w:rFonts w:ascii="仿宋" w:hAnsi="仿宋" w:eastAsia="仿宋"/>
          <w:color w:val="auto"/>
          <w:sz w:val="24"/>
          <w:highlight w:val="none"/>
        </w:rPr>
      </w:pPr>
      <w:r>
        <w:rPr>
          <w:rFonts w:hint="eastAsia" w:ascii="仿宋" w:hAnsi="仿宋" w:eastAsia="仿宋"/>
          <w:color w:val="auto"/>
          <w:sz w:val="24"/>
          <w:highlight w:val="none"/>
        </w:rPr>
        <w:t>投标人：（盖单位章）</w:t>
      </w:r>
    </w:p>
    <w:p w14:paraId="73F2DD1C">
      <w:pPr>
        <w:spacing w:line="600" w:lineRule="exact"/>
        <w:ind w:firstLine="3840" w:firstLineChars="1600"/>
        <w:rPr>
          <w:rFonts w:ascii="仿宋" w:hAnsi="仿宋" w:eastAsia="仿宋"/>
          <w:color w:val="auto"/>
          <w:sz w:val="24"/>
          <w:highlight w:val="none"/>
        </w:rPr>
      </w:pPr>
      <w:r>
        <w:rPr>
          <w:rFonts w:hint="eastAsia" w:ascii="仿宋" w:hAnsi="仿宋" w:eastAsia="仿宋"/>
          <w:color w:val="auto"/>
          <w:sz w:val="24"/>
          <w:highlight w:val="none"/>
        </w:rPr>
        <w:t xml:space="preserve">年 </w:t>
      </w: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月  </w:t>
      </w:r>
      <w:r>
        <w:rPr>
          <w:rFonts w:ascii="仿宋" w:hAnsi="仿宋" w:eastAsia="仿宋"/>
          <w:color w:val="auto"/>
          <w:sz w:val="24"/>
          <w:highlight w:val="none"/>
        </w:rPr>
        <w:t xml:space="preserve"> </w:t>
      </w:r>
      <w:r>
        <w:rPr>
          <w:rFonts w:hint="eastAsia" w:ascii="仿宋" w:hAnsi="仿宋" w:eastAsia="仿宋"/>
          <w:color w:val="auto"/>
          <w:sz w:val="24"/>
          <w:highlight w:val="none"/>
        </w:rPr>
        <w:t>日</w:t>
      </w:r>
    </w:p>
    <w:p w14:paraId="471978D4">
      <w:pPr>
        <w:spacing w:line="600" w:lineRule="exact"/>
        <w:rPr>
          <w:rFonts w:ascii="仿宋" w:hAnsi="仿宋" w:eastAsia="仿宋"/>
          <w:b/>
          <w:bCs/>
          <w:color w:val="auto"/>
          <w:sz w:val="24"/>
          <w:highlight w:val="none"/>
        </w:rPr>
      </w:pPr>
    </w:p>
    <w:p w14:paraId="373D2805">
      <w:pPr>
        <w:spacing w:line="600" w:lineRule="exact"/>
        <w:rPr>
          <w:rFonts w:ascii="仿宋" w:hAnsi="仿宋" w:eastAsia="仿宋"/>
          <w:b/>
          <w:bCs/>
          <w:color w:val="auto"/>
          <w:sz w:val="24"/>
          <w:highlight w:val="none"/>
        </w:rPr>
      </w:pPr>
    </w:p>
    <w:p w14:paraId="40351AD6">
      <w:pPr>
        <w:spacing w:line="600" w:lineRule="exact"/>
        <w:rPr>
          <w:rFonts w:ascii="仿宋" w:hAnsi="仿宋" w:eastAsia="仿宋"/>
          <w:b/>
          <w:bCs/>
          <w:color w:val="auto"/>
          <w:sz w:val="24"/>
          <w:highlight w:val="none"/>
        </w:rPr>
      </w:pPr>
    </w:p>
    <w:p w14:paraId="50536779">
      <w:pPr>
        <w:spacing w:line="600" w:lineRule="exact"/>
        <w:rPr>
          <w:rFonts w:ascii="仿宋" w:hAnsi="仿宋" w:eastAsia="仿宋"/>
          <w:b/>
          <w:bCs/>
          <w:color w:val="auto"/>
          <w:sz w:val="24"/>
          <w:highlight w:val="none"/>
        </w:rPr>
      </w:pPr>
    </w:p>
    <w:p w14:paraId="2AB55DBB">
      <w:pPr>
        <w:spacing w:line="600" w:lineRule="exact"/>
        <w:rPr>
          <w:rFonts w:ascii="仿宋" w:hAnsi="仿宋" w:eastAsia="仿宋"/>
          <w:b/>
          <w:bCs/>
          <w:color w:val="auto"/>
          <w:sz w:val="24"/>
          <w:highlight w:val="none"/>
        </w:rPr>
      </w:pPr>
    </w:p>
    <w:p w14:paraId="0AD9A16F">
      <w:pPr>
        <w:spacing w:line="600" w:lineRule="exact"/>
        <w:rPr>
          <w:rFonts w:ascii="仿宋" w:hAnsi="仿宋" w:eastAsia="仿宋"/>
          <w:b/>
          <w:bCs/>
          <w:color w:val="auto"/>
          <w:sz w:val="24"/>
          <w:highlight w:val="none"/>
        </w:rPr>
      </w:pPr>
    </w:p>
    <w:p w14:paraId="5A12D246">
      <w:pPr>
        <w:spacing w:line="600" w:lineRule="exact"/>
        <w:rPr>
          <w:rFonts w:ascii="仿宋" w:hAnsi="仿宋" w:eastAsia="仿宋"/>
          <w:b/>
          <w:bCs/>
          <w:color w:val="auto"/>
          <w:sz w:val="24"/>
          <w:highlight w:val="none"/>
        </w:rPr>
      </w:pPr>
    </w:p>
    <w:p w14:paraId="1F19B50D">
      <w:pPr>
        <w:pStyle w:val="11"/>
        <w:widowControl/>
        <w:spacing w:line="360" w:lineRule="auto"/>
        <w:ind w:left="1080" w:leftChars="257" w:hanging="540"/>
        <w:jc w:val="center"/>
        <w:rPr>
          <w:rFonts w:ascii="Times New Roman" w:hAnsi="Times New Roman" w:eastAsia="仿宋"/>
          <w:b/>
          <w:color w:val="auto"/>
          <w:sz w:val="24"/>
          <w:szCs w:val="24"/>
          <w:highlight w:val="none"/>
        </w:rPr>
      </w:pPr>
      <w:bookmarkStart w:id="179" w:name="_Toc29856"/>
      <w:r>
        <w:rPr>
          <w:rFonts w:ascii="Times New Roman" w:hAnsi="Times New Roman" w:eastAsia="仿宋"/>
          <w:color w:val="auto"/>
          <w:sz w:val="24"/>
          <w:szCs w:val="24"/>
          <w:highlight w:val="none"/>
        </w:rPr>
        <w:t>（1）</w:t>
      </w:r>
      <w:r>
        <w:rPr>
          <w:rStyle w:val="157"/>
          <w:rFonts w:ascii="Times New Roman" w:hAnsi="Times New Roman" w:eastAsia="仿宋"/>
          <w:color w:val="auto"/>
          <w:sz w:val="24"/>
          <w:szCs w:val="24"/>
          <w:highlight w:val="none"/>
        </w:rPr>
        <w:t>法定代表人身份证明书</w:t>
      </w:r>
      <w:bookmarkEnd w:id="179"/>
    </w:p>
    <w:p w14:paraId="38438399">
      <w:pPr>
        <w:spacing w:line="360" w:lineRule="auto"/>
        <w:rPr>
          <w:rFonts w:eastAsia="仿宋"/>
          <w:color w:val="auto"/>
          <w:sz w:val="24"/>
          <w:highlight w:val="none"/>
          <w:u w:val="single"/>
        </w:rPr>
      </w:pPr>
    </w:p>
    <w:p w14:paraId="111C5030">
      <w:pPr>
        <w:spacing w:line="360" w:lineRule="auto"/>
        <w:rPr>
          <w:rFonts w:eastAsia="仿宋"/>
          <w:color w:val="auto"/>
          <w:sz w:val="24"/>
          <w:highlight w:val="none"/>
        </w:rPr>
      </w:pPr>
      <w:r>
        <w:rPr>
          <w:rFonts w:eastAsia="仿宋"/>
          <w:color w:val="auto"/>
          <w:sz w:val="24"/>
          <w:highlight w:val="none"/>
        </w:rPr>
        <w:t>致：</w:t>
      </w:r>
    </w:p>
    <w:p w14:paraId="063CFF7B">
      <w:pPr>
        <w:spacing w:line="360" w:lineRule="auto"/>
        <w:ind w:firstLine="600" w:firstLineChars="250"/>
        <w:rPr>
          <w:rFonts w:eastAsia="仿宋"/>
          <w:color w:val="auto"/>
          <w:sz w:val="24"/>
          <w:highlight w:val="none"/>
          <w:u w:val="single"/>
        </w:rPr>
      </w:pPr>
    </w:p>
    <w:p w14:paraId="6D21D471">
      <w:pPr>
        <w:spacing w:line="360" w:lineRule="auto"/>
        <w:ind w:firstLine="600" w:firstLineChars="250"/>
        <w:rPr>
          <w:rFonts w:eastAsia="仿宋"/>
          <w:color w:val="auto"/>
          <w:sz w:val="24"/>
          <w:highlight w:val="none"/>
        </w:rPr>
      </w:pPr>
      <w:r>
        <w:rPr>
          <w:rFonts w:eastAsia="仿宋"/>
          <w:color w:val="auto"/>
          <w:sz w:val="24"/>
          <w:highlight w:val="none"/>
        </w:rPr>
        <w:t>（姓名、性别、年龄、身份证号码）在我</w:t>
      </w:r>
      <w:r>
        <w:rPr>
          <w:color w:val="auto"/>
          <w:highlight w:val="none"/>
        </w:rPr>
        <w:fldChar w:fldCharType="begin"/>
      </w:r>
      <w:r>
        <w:rPr>
          <w:color w:val="auto"/>
          <w:highlight w:val="none"/>
        </w:rPr>
        <w:instrText xml:space="preserve"> HYPERLINK "https://baike.baidu.com/item/%E5%8D%95%E4%BD%8D/32292" </w:instrText>
      </w:r>
      <w:r>
        <w:rPr>
          <w:color w:val="auto"/>
          <w:highlight w:val="none"/>
        </w:rPr>
        <w:fldChar w:fldCharType="separate"/>
      </w:r>
      <w:r>
        <w:rPr>
          <w:rFonts w:eastAsia="仿宋"/>
          <w:color w:val="auto"/>
          <w:sz w:val="24"/>
          <w:highlight w:val="none"/>
        </w:rPr>
        <w:t>单位</w:t>
      </w:r>
      <w:r>
        <w:rPr>
          <w:rFonts w:eastAsia="仿宋"/>
          <w:color w:val="auto"/>
          <w:sz w:val="24"/>
          <w:highlight w:val="none"/>
        </w:rPr>
        <w:fldChar w:fldCharType="end"/>
      </w:r>
      <w:r>
        <w:rPr>
          <w:rFonts w:eastAsia="仿宋"/>
          <w:color w:val="auto"/>
          <w:sz w:val="24"/>
          <w:highlight w:val="none"/>
        </w:rPr>
        <w:t>任（董事长、总经理等）职务，是我单位的法定代表人。</w:t>
      </w:r>
    </w:p>
    <w:p w14:paraId="45DFED2F">
      <w:pPr>
        <w:spacing w:line="360" w:lineRule="auto"/>
        <w:ind w:firstLine="480"/>
        <w:rPr>
          <w:rFonts w:eastAsia="仿宋"/>
          <w:color w:val="auto"/>
          <w:sz w:val="24"/>
          <w:highlight w:val="none"/>
        </w:rPr>
      </w:pPr>
    </w:p>
    <w:p w14:paraId="3A9B00E9">
      <w:pPr>
        <w:spacing w:line="360" w:lineRule="auto"/>
        <w:ind w:firstLine="480"/>
        <w:rPr>
          <w:rFonts w:eastAsia="仿宋"/>
          <w:color w:val="auto"/>
          <w:sz w:val="24"/>
          <w:highlight w:val="none"/>
        </w:rPr>
      </w:pPr>
    </w:p>
    <w:p w14:paraId="677EC681">
      <w:pPr>
        <w:spacing w:line="360" w:lineRule="auto"/>
        <w:ind w:firstLine="480"/>
        <w:rPr>
          <w:rFonts w:eastAsia="仿宋"/>
          <w:color w:val="auto"/>
          <w:sz w:val="24"/>
          <w:highlight w:val="none"/>
        </w:rPr>
      </w:pPr>
      <w:r>
        <w:rPr>
          <w:rFonts w:eastAsia="仿宋"/>
          <w:color w:val="auto"/>
          <w:sz w:val="24"/>
          <w:highlight w:val="none"/>
        </w:rPr>
        <w:t>特此证明。</w:t>
      </w:r>
    </w:p>
    <w:p w14:paraId="0592373B">
      <w:pPr>
        <w:spacing w:line="360" w:lineRule="auto"/>
        <w:ind w:firstLine="480"/>
        <w:rPr>
          <w:rFonts w:eastAsia="仿宋"/>
          <w:color w:val="auto"/>
          <w:sz w:val="24"/>
          <w:highlight w:val="none"/>
        </w:rPr>
      </w:pPr>
    </w:p>
    <w:p w14:paraId="555D8948">
      <w:pPr>
        <w:spacing w:line="360" w:lineRule="auto"/>
        <w:ind w:firstLine="480"/>
        <w:rPr>
          <w:rFonts w:eastAsia="仿宋"/>
          <w:color w:val="auto"/>
          <w:sz w:val="24"/>
          <w:highlight w:val="none"/>
        </w:rPr>
      </w:pPr>
    </w:p>
    <w:p w14:paraId="00686780">
      <w:pPr>
        <w:spacing w:line="360" w:lineRule="auto"/>
        <w:ind w:firstLine="480"/>
        <w:rPr>
          <w:rFonts w:eastAsia="仿宋"/>
          <w:color w:val="auto"/>
          <w:sz w:val="24"/>
          <w:highlight w:val="none"/>
        </w:rPr>
      </w:pPr>
    </w:p>
    <w:p w14:paraId="405752E5">
      <w:pPr>
        <w:pStyle w:val="11"/>
        <w:widowControl/>
        <w:spacing w:line="360" w:lineRule="auto"/>
        <w:ind w:left="-540" w:leftChars="-257" w:firstLine="900" w:firstLineChars="375"/>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投标人（</w:t>
      </w:r>
      <w:r>
        <w:rPr>
          <w:rFonts w:hint="eastAsia" w:ascii="Times New Roman" w:hAnsi="Times New Roman" w:eastAsia="仿宋"/>
          <w:color w:val="auto"/>
          <w:sz w:val="24"/>
          <w:szCs w:val="24"/>
          <w:highlight w:val="none"/>
        </w:rPr>
        <w:t>加</w:t>
      </w:r>
      <w:r>
        <w:rPr>
          <w:rFonts w:ascii="Times New Roman" w:hAnsi="Times New Roman" w:eastAsia="仿宋"/>
          <w:color w:val="auto"/>
          <w:sz w:val="24"/>
          <w:szCs w:val="24"/>
          <w:highlight w:val="none"/>
        </w:rPr>
        <w:t>盖公章）：</w:t>
      </w:r>
    </w:p>
    <w:p w14:paraId="7113FA46">
      <w:pPr>
        <w:pStyle w:val="11"/>
        <w:widowControl/>
        <w:spacing w:line="360" w:lineRule="auto"/>
        <w:ind w:left="269" w:leftChars="128" w:firstLine="120" w:firstLineChars="5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详细通讯地址：</w:t>
      </w:r>
    </w:p>
    <w:p w14:paraId="26754AEA">
      <w:pPr>
        <w:pStyle w:val="11"/>
        <w:widowControl/>
        <w:spacing w:line="360" w:lineRule="auto"/>
        <w:ind w:firstLine="360" w:firstLineChars="15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邮政编码：</w:t>
      </w:r>
    </w:p>
    <w:p w14:paraId="7CC7B3AB">
      <w:pPr>
        <w:pStyle w:val="11"/>
        <w:widowControl/>
        <w:spacing w:line="360" w:lineRule="auto"/>
        <w:ind w:firstLine="360" w:firstLineChars="15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传真：</w:t>
      </w:r>
    </w:p>
    <w:p w14:paraId="14449DF6">
      <w:pPr>
        <w:pStyle w:val="11"/>
        <w:widowControl/>
        <w:spacing w:line="360" w:lineRule="auto"/>
        <w:ind w:firstLine="360" w:firstLineChars="15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电话：</w:t>
      </w:r>
    </w:p>
    <w:p w14:paraId="276C9D24">
      <w:pPr>
        <w:spacing w:line="360" w:lineRule="auto"/>
        <w:ind w:firstLine="480"/>
        <w:rPr>
          <w:rFonts w:eastAsia="仿宋"/>
          <w:color w:val="auto"/>
          <w:sz w:val="24"/>
          <w:highlight w:val="none"/>
        </w:rPr>
      </w:pPr>
    </w:p>
    <w:p w14:paraId="0CD53F74">
      <w:pPr>
        <w:spacing w:line="360" w:lineRule="auto"/>
        <w:ind w:firstLine="480"/>
        <w:rPr>
          <w:rFonts w:eastAsia="仿宋"/>
          <w:color w:val="auto"/>
          <w:sz w:val="24"/>
          <w:highlight w:val="none"/>
        </w:rPr>
      </w:pPr>
      <w:r>
        <w:rPr>
          <w:rFonts w:eastAsia="仿宋"/>
          <w:color w:val="auto"/>
          <w:sz w:val="24"/>
          <w:highlight w:val="none"/>
        </w:rPr>
        <w:t>注：自然人投标的无需提供</w:t>
      </w:r>
    </w:p>
    <w:p w14:paraId="6BF002A8">
      <w:pPr>
        <w:pStyle w:val="11"/>
        <w:widowControl/>
        <w:spacing w:line="360" w:lineRule="auto"/>
        <w:ind w:left="1080" w:leftChars="257" w:hanging="540"/>
        <w:jc w:val="center"/>
        <w:rPr>
          <w:rFonts w:ascii="Times New Roman" w:hAnsi="Times New Roman" w:eastAsia="仿宋"/>
          <w:b/>
          <w:color w:val="auto"/>
          <w:sz w:val="24"/>
          <w:szCs w:val="24"/>
          <w:highlight w:val="none"/>
        </w:rPr>
      </w:pPr>
      <w:r>
        <w:rPr>
          <w:rFonts w:eastAsia="仿宋"/>
          <w:color w:val="auto"/>
          <w:highlight w:val="none"/>
        </w:rPr>
        <w:br w:type="page"/>
      </w:r>
      <w:bookmarkStart w:id="180" w:name="_Toc2582312"/>
      <w:bookmarkEnd w:id="180"/>
      <w:bookmarkStart w:id="181" w:name="_Toc24007"/>
      <w:r>
        <w:rPr>
          <w:rFonts w:ascii="Times New Roman" w:hAnsi="Times New Roman" w:eastAsia="仿宋"/>
          <w:b/>
          <w:color w:val="auto"/>
          <w:sz w:val="24"/>
          <w:szCs w:val="24"/>
          <w:highlight w:val="none"/>
        </w:rPr>
        <w:t>（2）法定代表人授权书</w:t>
      </w:r>
      <w:bookmarkEnd w:id="181"/>
    </w:p>
    <w:p w14:paraId="71A2C5BD">
      <w:pPr>
        <w:pStyle w:val="20"/>
        <w:rPr>
          <w:rFonts w:ascii="Times New Roman" w:hAnsi="Times New Roman"/>
          <w:color w:val="auto"/>
          <w:highlight w:val="none"/>
        </w:rPr>
      </w:pPr>
    </w:p>
    <w:p w14:paraId="0C88D448">
      <w:pPr>
        <w:pStyle w:val="11"/>
        <w:widowControl/>
        <w:spacing w:line="360" w:lineRule="auto"/>
        <w:rPr>
          <w:rFonts w:ascii="Times New Roman" w:hAnsi="Times New Roman" w:eastAsia="仿宋"/>
          <w:color w:val="auto"/>
          <w:sz w:val="24"/>
          <w:szCs w:val="24"/>
          <w:highlight w:val="none"/>
        </w:rPr>
      </w:pPr>
      <w:r>
        <w:rPr>
          <w:rFonts w:hint="eastAsia" w:ascii="Times New Roman" w:hAnsi="Times New Roman" w:eastAsia="仿宋"/>
          <w:color w:val="auto"/>
          <w:sz w:val="24"/>
          <w:szCs w:val="24"/>
          <w:highlight w:val="none"/>
        </w:rPr>
        <w:t xml:space="preserve">     </w:t>
      </w:r>
      <w:r>
        <w:rPr>
          <w:rFonts w:ascii="Times New Roman" w:hAnsi="Times New Roman" w:eastAsia="仿宋"/>
          <w:color w:val="auto"/>
          <w:sz w:val="24"/>
          <w:szCs w:val="24"/>
          <w:highlight w:val="none"/>
        </w:rPr>
        <w:t>本授权书声明：注册于</w:t>
      </w:r>
      <w:r>
        <w:rPr>
          <w:rFonts w:ascii="Times New Roman" w:hAnsi="Times New Roman" w:eastAsia="仿宋"/>
          <w:color w:val="auto"/>
          <w:sz w:val="24"/>
          <w:szCs w:val="24"/>
          <w:highlight w:val="none"/>
          <w:u w:val="single"/>
        </w:rPr>
        <w:t>（国家或地区的名称）</w:t>
      </w:r>
      <w:r>
        <w:rPr>
          <w:rFonts w:ascii="Times New Roman" w:hAnsi="Times New Roman" w:eastAsia="仿宋"/>
          <w:color w:val="auto"/>
          <w:sz w:val="24"/>
          <w:szCs w:val="24"/>
          <w:highlight w:val="none"/>
        </w:rPr>
        <w:t>的（</w:t>
      </w:r>
      <w:r>
        <w:rPr>
          <w:rFonts w:ascii="Times New Roman" w:hAnsi="Times New Roman" w:eastAsia="仿宋"/>
          <w:i/>
          <w:color w:val="auto"/>
          <w:sz w:val="24"/>
          <w:szCs w:val="24"/>
          <w:highlight w:val="none"/>
          <w:u w:val="single"/>
        </w:rPr>
        <w:t>投标人</w:t>
      </w:r>
      <w:r>
        <w:rPr>
          <w:rFonts w:ascii="Times New Roman" w:hAnsi="Times New Roman" w:eastAsia="仿宋"/>
          <w:color w:val="auto"/>
          <w:sz w:val="24"/>
          <w:szCs w:val="24"/>
          <w:highlight w:val="none"/>
        </w:rPr>
        <w:t>）的在下面签字的（</w:t>
      </w:r>
      <w:r>
        <w:rPr>
          <w:rFonts w:ascii="Times New Roman" w:hAnsi="Times New Roman" w:eastAsia="仿宋"/>
          <w:i/>
          <w:color w:val="auto"/>
          <w:sz w:val="24"/>
          <w:szCs w:val="24"/>
          <w:highlight w:val="none"/>
          <w:u w:val="single"/>
        </w:rPr>
        <w:t>法人代表姓名、职务</w:t>
      </w:r>
      <w:r>
        <w:rPr>
          <w:rFonts w:ascii="Times New Roman" w:hAnsi="Times New Roman" w:eastAsia="仿宋"/>
          <w:color w:val="auto"/>
          <w:sz w:val="24"/>
          <w:szCs w:val="24"/>
          <w:highlight w:val="none"/>
        </w:rPr>
        <w:t>）代表我单位授权在下面签字的（</w:t>
      </w:r>
      <w:r>
        <w:rPr>
          <w:rFonts w:ascii="Times New Roman" w:hAnsi="Times New Roman" w:eastAsia="仿宋"/>
          <w:i/>
          <w:color w:val="auto"/>
          <w:sz w:val="24"/>
          <w:szCs w:val="24"/>
          <w:highlight w:val="none"/>
          <w:u w:val="single"/>
        </w:rPr>
        <w:t>被授权人的姓名</w:t>
      </w:r>
      <w:r>
        <w:rPr>
          <w:rFonts w:ascii="Times New Roman" w:hAnsi="Times New Roman" w:eastAsia="仿宋"/>
          <w:color w:val="auto"/>
          <w:sz w:val="24"/>
          <w:szCs w:val="24"/>
          <w:highlight w:val="none"/>
        </w:rPr>
        <w:t>）为我单位的合法代理人，就（</w:t>
      </w:r>
      <w:r>
        <w:rPr>
          <w:rFonts w:ascii="Times New Roman" w:hAnsi="Times New Roman" w:eastAsia="仿宋"/>
          <w:i/>
          <w:color w:val="auto"/>
          <w:sz w:val="24"/>
          <w:szCs w:val="24"/>
          <w:highlight w:val="none"/>
          <w:u w:val="single"/>
        </w:rPr>
        <w:t>项目名称</w:t>
      </w:r>
      <w:r>
        <w:rPr>
          <w:rFonts w:ascii="Times New Roman" w:hAnsi="Times New Roman" w:eastAsia="仿宋"/>
          <w:color w:val="auto"/>
          <w:sz w:val="24"/>
          <w:szCs w:val="24"/>
          <w:highlight w:val="none"/>
        </w:rPr>
        <w:t>）投标，以我单位名义处理一切与之有关的事务。</w:t>
      </w:r>
    </w:p>
    <w:p w14:paraId="784481EE">
      <w:pPr>
        <w:pStyle w:val="11"/>
        <w:widowControl/>
        <w:spacing w:line="360" w:lineRule="auto"/>
        <w:ind w:left="-540" w:leftChars="-257" w:firstLine="900" w:firstLineChars="375"/>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本授权书于年月日签字生效，特此声明。</w:t>
      </w:r>
    </w:p>
    <w:p w14:paraId="77397501">
      <w:pPr>
        <w:pStyle w:val="11"/>
        <w:widowControl/>
        <w:spacing w:line="360" w:lineRule="auto"/>
        <w:ind w:left="-540" w:leftChars="-257" w:firstLine="900" w:firstLineChars="375"/>
        <w:rPr>
          <w:rFonts w:ascii="Times New Roman" w:hAnsi="Times New Roman" w:eastAsia="仿宋"/>
          <w:color w:val="auto"/>
          <w:sz w:val="24"/>
          <w:szCs w:val="24"/>
          <w:highlight w:val="none"/>
        </w:rPr>
      </w:pPr>
    </w:p>
    <w:p w14:paraId="724A96C7">
      <w:pPr>
        <w:pStyle w:val="11"/>
        <w:widowControl/>
        <w:spacing w:line="360" w:lineRule="auto"/>
        <w:ind w:firstLine="480" w:firstLineChars="200"/>
        <w:rPr>
          <w:rFonts w:ascii="Times New Roman" w:hAnsi="Times New Roman" w:eastAsia="仿宋"/>
          <w:color w:val="auto"/>
          <w:sz w:val="24"/>
          <w:szCs w:val="24"/>
          <w:highlight w:val="none"/>
          <w:u w:val="single"/>
        </w:rPr>
      </w:pPr>
      <w:r>
        <w:rPr>
          <w:rFonts w:ascii="Times New Roman" w:hAnsi="Times New Roman" w:eastAsia="仿宋"/>
          <w:color w:val="auto"/>
          <w:sz w:val="24"/>
          <w:szCs w:val="24"/>
          <w:highlight w:val="none"/>
          <w:u w:val="single" w:color="FFFFFF"/>
        </w:rPr>
        <w:t>投标</w:t>
      </w:r>
      <w:r>
        <w:rPr>
          <w:rFonts w:ascii="Times New Roman" w:hAnsi="Times New Roman" w:eastAsia="仿宋"/>
          <w:color w:val="auto"/>
          <w:sz w:val="24"/>
          <w:szCs w:val="24"/>
          <w:highlight w:val="none"/>
        </w:rPr>
        <w:t>人（</w:t>
      </w:r>
      <w:r>
        <w:rPr>
          <w:rFonts w:hint="eastAsia" w:ascii="Times New Roman" w:hAnsi="Times New Roman" w:eastAsia="仿宋"/>
          <w:color w:val="auto"/>
          <w:sz w:val="24"/>
          <w:szCs w:val="24"/>
          <w:highlight w:val="none"/>
        </w:rPr>
        <w:t>加</w:t>
      </w:r>
      <w:r>
        <w:rPr>
          <w:rFonts w:ascii="Times New Roman" w:hAnsi="Times New Roman" w:eastAsia="仿宋"/>
          <w:color w:val="auto"/>
          <w:sz w:val="24"/>
          <w:szCs w:val="24"/>
          <w:highlight w:val="none"/>
        </w:rPr>
        <w:t>盖公章）：</w:t>
      </w:r>
    </w:p>
    <w:p w14:paraId="32875465">
      <w:pPr>
        <w:pStyle w:val="11"/>
        <w:widowControl/>
        <w:spacing w:line="360" w:lineRule="auto"/>
        <w:ind w:firstLine="480" w:firstLineChars="20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u w:val="single" w:color="FFFFFF"/>
        </w:rPr>
        <w:t>法定代表人（签字或签章）</w:t>
      </w:r>
      <w:r>
        <w:rPr>
          <w:rFonts w:ascii="Times New Roman" w:hAnsi="Times New Roman" w:eastAsia="仿宋"/>
          <w:color w:val="auto"/>
          <w:sz w:val="24"/>
          <w:szCs w:val="24"/>
          <w:highlight w:val="none"/>
        </w:rPr>
        <w:t>：</w:t>
      </w:r>
    </w:p>
    <w:p w14:paraId="0CBD6329">
      <w:pPr>
        <w:pStyle w:val="11"/>
        <w:widowControl/>
        <w:spacing w:line="360" w:lineRule="auto"/>
        <w:ind w:firstLine="480" w:firstLineChars="200"/>
        <w:rPr>
          <w:rFonts w:ascii="Times New Roman" w:hAnsi="Times New Roman" w:eastAsia="仿宋"/>
          <w:color w:val="auto"/>
          <w:sz w:val="24"/>
          <w:szCs w:val="24"/>
          <w:highlight w:val="none"/>
        </w:rPr>
      </w:pPr>
      <w:r>
        <w:rPr>
          <w:rFonts w:hint="eastAsia" w:ascii="Times New Roman" w:hAnsi="Times New Roman" w:eastAsia="仿宋"/>
          <w:color w:val="auto"/>
          <w:sz w:val="24"/>
          <w:szCs w:val="24"/>
          <w:highlight w:val="none"/>
        </w:rPr>
        <w:t>身份证号码：</w:t>
      </w:r>
    </w:p>
    <w:p w14:paraId="5891E5C6">
      <w:pPr>
        <w:pStyle w:val="11"/>
        <w:widowControl/>
        <w:spacing w:line="360" w:lineRule="auto"/>
        <w:ind w:firstLine="480" w:firstLineChars="200"/>
        <w:rPr>
          <w:rFonts w:ascii="Times New Roman" w:hAnsi="Times New Roman" w:eastAsia="仿宋"/>
          <w:color w:val="auto"/>
          <w:sz w:val="24"/>
          <w:szCs w:val="24"/>
          <w:highlight w:val="none"/>
        </w:rPr>
      </w:pPr>
      <w:r>
        <w:rPr>
          <w:rFonts w:hint="eastAsia" w:ascii="Times New Roman" w:hAnsi="Times New Roman" w:eastAsia="仿宋"/>
          <w:color w:val="auto"/>
          <w:sz w:val="24"/>
          <w:szCs w:val="24"/>
          <w:highlight w:val="none"/>
        </w:rPr>
        <w:t>被授权人</w:t>
      </w:r>
      <w:r>
        <w:rPr>
          <w:rFonts w:ascii="Times New Roman" w:hAnsi="Times New Roman" w:eastAsia="仿宋"/>
          <w:color w:val="auto"/>
          <w:sz w:val="24"/>
          <w:szCs w:val="24"/>
          <w:highlight w:val="none"/>
          <w:u w:val="single" w:color="FFFFFF"/>
        </w:rPr>
        <w:t>（签字或签章）</w:t>
      </w:r>
      <w:r>
        <w:rPr>
          <w:rFonts w:ascii="Times New Roman" w:hAnsi="Times New Roman" w:eastAsia="仿宋"/>
          <w:color w:val="auto"/>
          <w:sz w:val="24"/>
          <w:szCs w:val="24"/>
          <w:highlight w:val="none"/>
        </w:rPr>
        <w:t>：</w:t>
      </w:r>
    </w:p>
    <w:p w14:paraId="7028BA83">
      <w:pPr>
        <w:pStyle w:val="11"/>
        <w:widowControl/>
        <w:spacing w:line="360" w:lineRule="auto"/>
        <w:ind w:firstLine="480" w:firstLineChars="20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rPr>
        <w:t>身份证号码：</w:t>
      </w:r>
    </w:p>
    <w:p w14:paraId="65882EC5">
      <w:pPr>
        <w:pStyle w:val="11"/>
        <w:widowControl/>
        <w:spacing w:line="360" w:lineRule="auto"/>
        <w:ind w:firstLine="480" w:firstLineChars="20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u w:val="single" w:color="FFFFFF"/>
        </w:rPr>
        <w:t>详细通讯地址</w:t>
      </w:r>
      <w:r>
        <w:rPr>
          <w:rFonts w:ascii="Times New Roman" w:hAnsi="Times New Roman" w:eastAsia="仿宋"/>
          <w:color w:val="auto"/>
          <w:sz w:val="24"/>
          <w:szCs w:val="24"/>
          <w:highlight w:val="none"/>
        </w:rPr>
        <w:t>：</w:t>
      </w:r>
    </w:p>
    <w:p w14:paraId="34772D15">
      <w:pPr>
        <w:pStyle w:val="11"/>
        <w:widowControl/>
        <w:spacing w:line="360" w:lineRule="auto"/>
        <w:ind w:firstLine="480" w:firstLineChars="20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u w:val="single" w:color="FFFFFF"/>
        </w:rPr>
        <w:t>邮政编码</w:t>
      </w:r>
      <w:r>
        <w:rPr>
          <w:rFonts w:ascii="Times New Roman" w:hAnsi="Times New Roman" w:eastAsia="仿宋"/>
          <w:color w:val="auto"/>
          <w:sz w:val="24"/>
          <w:szCs w:val="24"/>
          <w:highlight w:val="none"/>
        </w:rPr>
        <w:t>：</w:t>
      </w:r>
    </w:p>
    <w:p w14:paraId="5B095F96">
      <w:pPr>
        <w:pStyle w:val="11"/>
        <w:widowControl/>
        <w:spacing w:line="360" w:lineRule="auto"/>
        <w:ind w:firstLine="480" w:firstLineChars="200"/>
        <w:rPr>
          <w:rFonts w:ascii="Times New Roman" w:hAnsi="Times New Roman" w:eastAsia="仿宋"/>
          <w:color w:val="auto"/>
          <w:sz w:val="24"/>
          <w:szCs w:val="24"/>
          <w:highlight w:val="none"/>
        </w:rPr>
      </w:pPr>
      <w:r>
        <w:rPr>
          <w:rFonts w:ascii="Times New Roman" w:hAnsi="Times New Roman" w:eastAsia="仿宋"/>
          <w:color w:val="auto"/>
          <w:sz w:val="24"/>
          <w:szCs w:val="24"/>
          <w:highlight w:val="none"/>
          <w:u w:val="single" w:color="FFFFFF"/>
        </w:rPr>
        <w:t>传真</w:t>
      </w:r>
      <w:r>
        <w:rPr>
          <w:rFonts w:ascii="Times New Roman" w:hAnsi="Times New Roman" w:eastAsia="仿宋"/>
          <w:color w:val="auto"/>
          <w:sz w:val="24"/>
          <w:szCs w:val="24"/>
          <w:highlight w:val="none"/>
        </w:rPr>
        <w:t>：</w:t>
      </w:r>
    </w:p>
    <w:p w14:paraId="11A4D8FC">
      <w:pPr>
        <w:pStyle w:val="11"/>
        <w:widowControl/>
        <w:spacing w:line="360" w:lineRule="auto"/>
        <w:ind w:firstLine="480" w:firstLineChars="200"/>
        <w:rPr>
          <w:rFonts w:ascii="Times New Roman" w:hAnsi="Times New Roman" w:eastAsia="仿宋"/>
          <w:color w:val="auto"/>
          <w:sz w:val="24"/>
          <w:szCs w:val="24"/>
          <w:highlight w:val="none"/>
          <w:u w:val="single"/>
        </w:rPr>
      </w:pPr>
      <w:r>
        <w:rPr>
          <w:rFonts w:ascii="Times New Roman" w:hAnsi="Times New Roman" w:eastAsia="仿宋"/>
          <w:color w:val="auto"/>
          <w:sz w:val="24"/>
          <w:szCs w:val="24"/>
          <w:highlight w:val="none"/>
          <w:u w:val="single" w:color="FFFFFF"/>
        </w:rPr>
        <w:t>电话</w:t>
      </w:r>
      <w:r>
        <w:rPr>
          <w:rFonts w:ascii="Times New Roman" w:hAnsi="Times New Roman" w:eastAsia="仿宋"/>
          <w:color w:val="auto"/>
          <w:sz w:val="24"/>
          <w:szCs w:val="24"/>
          <w:highlight w:val="none"/>
        </w:rPr>
        <w:t>：</w:t>
      </w:r>
    </w:p>
    <w:p w14:paraId="7C24E6B4">
      <w:pPr>
        <w:pStyle w:val="11"/>
        <w:widowControl/>
        <w:spacing w:line="360" w:lineRule="auto"/>
        <w:ind w:firstLine="480" w:firstLineChars="200"/>
        <w:rPr>
          <w:rFonts w:ascii="Times New Roman" w:hAnsi="Times New Roman" w:eastAsia="仿宋"/>
          <w:color w:val="auto"/>
          <w:sz w:val="24"/>
          <w:szCs w:val="24"/>
          <w:highlight w:val="none"/>
        </w:rPr>
      </w:pPr>
    </w:p>
    <w:p w14:paraId="2EB37935">
      <w:pPr>
        <w:spacing w:line="360" w:lineRule="auto"/>
        <w:ind w:firstLine="480"/>
        <w:rPr>
          <w:rFonts w:eastAsia="仿宋"/>
          <w:color w:val="auto"/>
          <w:sz w:val="24"/>
          <w:highlight w:val="none"/>
        </w:rPr>
      </w:pPr>
      <w:r>
        <w:rPr>
          <w:rFonts w:eastAsia="仿宋"/>
          <w:color w:val="auto"/>
          <w:sz w:val="24"/>
          <w:highlight w:val="none"/>
        </w:rPr>
        <w:t>注：自然人投标的或法定代表人投标的无需提供</w:t>
      </w:r>
    </w:p>
    <w:p w14:paraId="363DBCCC">
      <w:pPr>
        <w:spacing w:line="360" w:lineRule="auto"/>
        <w:ind w:firstLine="480"/>
        <w:rPr>
          <w:rFonts w:eastAsia="仿宋"/>
          <w:color w:val="auto"/>
          <w:sz w:val="24"/>
          <w:highlight w:val="none"/>
        </w:rPr>
      </w:pPr>
    </w:p>
    <w:p w14:paraId="7980B014">
      <w:pPr>
        <w:pStyle w:val="11"/>
        <w:numPr>
          <w:ilvl w:val="0"/>
          <w:numId w:val="2"/>
        </w:numPr>
        <w:tabs>
          <w:tab w:val="left" w:pos="5580"/>
        </w:tabs>
        <w:spacing w:line="600" w:lineRule="exact"/>
        <w:rPr>
          <w:rFonts w:ascii="Times New Roman" w:hAnsi="Times New Roman" w:eastAsia="仿宋"/>
          <w:b/>
          <w:color w:val="auto"/>
          <w:sz w:val="24"/>
          <w:szCs w:val="24"/>
          <w:highlight w:val="none"/>
        </w:rPr>
      </w:pPr>
      <w:r>
        <w:rPr>
          <w:rFonts w:ascii="Times New Roman" w:hAnsi="Times New Roman" w:eastAsia="仿宋"/>
          <w:b/>
          <w:color w:val="auto"/>
          <w:sz w:val="24"/>
          <w:szCs w:val="24"/>
          <w:highlight w:val="none"/>
        </w:rPr>
        <w:t>投标人三证合一营业执照的复印件（须加盖公章）</w:t>
      </w:r>
    </w:p>
    <w:p w14:paraId="58EFE487">
      <w:pPr>
        <w:pStyle w:val="11"/>
        <w:tabs>
          <w:tab w:val="left" w:pos="5580"/>
        </w:tabs>
        <w:spacing w:line="600" w:lineRule="exact"/>
        <w:rPr>
          <w:rFonts w:ascii="Times New Roman" w:hAnsi="Times New Roman" w:eastAsia="仿宋"/>
          <w:b/>
          <w:color w:val="auto"/>
          <w:sz w:val="24"/>
          <w:szCs w:val="24"/>
          <w:highlight w:val="none"/>
        </w:rPr>
      </w:pPr>
      <w:r>
        <w:rPr>
          <w:rFonts w:hint="eastAsia" w:ascii="Times New Roman" w:hAnsi="Times New Roman" w:eastAsia="仿宋"/>
          <w:b/>
          <w:color w:val="auto"/>
          <w:sz w:val="24"/>
          <w:szCs w:val="24"/>
          <w:highlight w:val="none"/>
        </w:rPr>
        <w:t>（4）中国政府采购网（www.ccgp.gov.cn）或“信用中国”网站（www.creditchina.gov.cn）查询截图</w:t>
      </w:r>
    </w:p>
    <w:p w14:paraId="061EF33A">
      <w:pPr>
        <w:pStyle w:val="20"/>
        <w:rPr>
          <w:rFonts w:ascii="仿宋" w:hAnsi="仿宋"/>
          <w:color w:val="auto"/>
          <w:highlight w:val="none"/>
        </w:rPr>
      </w:pPr>
      <w:bookmarkStart w:id="182" w:name="_Toc290968063"/>
      <w:bookmarkStart w:id="183" w:name="_Toc5767"/>
    </w:p>
    <w:p w14:paraId="6C65A5ED">
      <w:pPr>
        <w:pStyle w:val="20"/>
        <w:rPr>
          <w:rFonts w:ascii="仿宋" w:hAnsi="仿宋"/>
          <w:color w:val="auto"/>
          <w:highlight w:val="none"/>
        </w:rPr>
      </w:pPr>
    </w:p>
    <w:p w14:paraId="129B553C">
      <w:pPr>
        <w:pStyle w:val="20"/>
        <w:rPr>
          <w:rFonts w:ascii="仿宋" w:hAnsi="仿宋"/>
          <w:color w:val="auto"/>
          <w:highlight w:val="none"/>
        </w:rPr>
      </w:pPr>
    </w:p>
    <w:p w14:paraId="6C219412">
      <w:pPr>
        <w:pStyle w:val="20"/>
        <w:rPr>
          <w:rFonts w:ascii="仿宋" w:hAnsi="仿宋"/>
          <w:color w:val="auto"/>
          <w:highlight w:val="none"/>
        </w:rPr>
      </w:pPr>
      <w:r>
        <w:rPr>
          <w:rFonts w:hint="eastAsia" w:ascii="仿宋" w:hAnsi="仿宋"/>
          <w:color w:val="auto"/>
          <w:highlight w:val="none"/>
        </w:rPr>
        <w:t>（四）</w:t>
      </w:r>
      <w:bookmarkEnd w:id="182"/>
      <w:bookmarkStart w:id="184" w:name="_Toc290968064"/>
      <w:r>
        <w:rPr>
          <w:rFonts w:hint="eastAsia" w:ascii="仿宋" w:hAnsi="仿宋"/>
          <w:color w:val="auto"/>
          <w:highlight w:val="none"/>
        </w:rPr>
        <w:t>技术规格偏离表</w:t>
      </w:r>
      <w:bookmarkEnd w:id="183"/>
      <w:bookmarkEnd w:id="184"/>
    </w:p>
    <w:p w14:paraId="5F3A55FF">
      <w:pPr>
        <w:spacing w:line="600" w:lineRule="exact"/>
        <w:rPr>
          <w:rFonts w:ascii="仿宋" w:hAnsi="仿宋" w:eastAsia="仿宋"/>
          <w:color w:val="auto"/>
          <w:sz w:val="24"/>
          <w:highlight w:val="none"/>
        </w:rPr>
      </w:pPr>
      <w:r>
        <w:rPr>
          <w:rFonts w:hint="eastAsia" w:ascii="仿宋" w:hAnsi="仿宋" w:eastAsia="仿宋"/>
          <w:color w:val="auto"/>
          <w:sz w:val="24"/>
          <w:highlight w:val="none"/>
        </w:rPr>
        <w:t xml:space="preserve">项目名称：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623"/>
        <w:gridCol w:w="1263"/>
        <w:gridCol w:w="2343"/>
        <w:gridCol w:w="1440"/>
        <w:gridCol w:w="1440"/>
      </w:tblGrid>
      <w:tr w14:paraId="55C7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03" w:type="dxa"/>
            <w:vAlign w:val="center"/>
          </w:tcPr>
          <w:p w14:paraId="5C02015C">
            <w:pPr>
              <w:pStyle w:val="11"/>
              <w:spacing w:line="6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1623" w:type="dxa"/>
            <w:vAlign w:val="center"/>
          </w:tcPr>
          <w:p w14:paraId="53FB0B93">
            <w:pPr>
              <w:pStyle w:val="11"/>
              <w:spacing w:line="6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项目</w:t>
            </w:r>
          </w:p>
        </w:tc>
        <w:tc>
          <w:tcPr>
            <w:tcW w:w="1263" w:type="dxa"/>
            <w:vAlign w:val="center"/>
          </w:tcPr>
          <w:p w14:paraId="60F7E87B">
            <w:pPr>
              <w:pStyle w:val="11"/>
              <w:spacing w:line="6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招标规格</w:t>
            </w:r>
          </w:p>
        </w:tc>
        <w:tc>
          <w:tcPr>
            <w:tcW w:w="2343" w:type="dxa"/>
            <w:vAlign w:val="center"/>
          </w:tcPr>
          <w:p w14:paraId="219EADF9">
            <w:pPr>
              <w:pStyle w:val="11"/>
              <w:spacing w:line="6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投标规格</w:t>
            </w:r>
          </w:p>
        </w:tc>
        <w:tc>
          <w:tcPr>
            <w:tcW w:w="1440" w:type="dxa"/>
            <w:vAlign w:val="center"/>
          </w:tcPr>
          <w:p w14:paraId="5F84E386">
            <w:pPr>
              <w:pStyle w:val="11"/>
              <w:spacing w:line="6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偏离</w:t>
            </w:r>
          </w:p>
        </w:tc>
        <w:tc>
          <w:tcPr>
            <w:tcW w:w="1440" w:type="dxa"/>
            <w:vAlign w:val="center"/>
          </w:tcPr>
          <w:p w14:paraId="0819831E">
            <w:pPr>
              <w:pStyle w:val="11"/>
              <w:spacing w:line="60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说明</w:t>
            </w:r>
          </w:p>
        </w:tc>
      </w:tr>
      <w:tr w14:paraId="77E3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903" w:type="dxa"/>
          </w:tcPr>
          <w:p w14:paraId="6F98D61C">
            <w:pPr>
              <w:rPr>
                <w:color w:val="auto"/>
                <w:highlight w:val="none"/>
              </w:rPr>
            </w:pPr>
          </w:p>
        </w:tc>
        <w:tc>
          <w:tcPr>
            <w:tcW w:w="1623" w:type="dxa"/>
          </w:tcPr>
          <w:p w14:paraId="555ADF4A">
            <w:pPr>
              <w:rPr>
                <w:color w:val="auto"/>
                <w:highlight w:val="none"/>
              </w:rPr>
            </w:pPr>
          </w:p>
        </w:tc>
        <w:tc>
          <w:tcPr>
            <w:tcW w:w="1263" w:type="dxa"/>
          </w:tcPr>
          <w:p w14:paraId="1A35021C">
            <w:pPr>
              <w:rPr>
                <w:color w:val="auto"/>
                <w:highlight w:val="none"/>
              </w:rPr>
            </w:pPr>
          </w:p>
        </w:tc>
        <w:tc>
          <w:tcPr>
            <w:tcW w:w="2343" w:type="dxa"/>
          </w:tcPr>
          <w:p w14:paraId="7E9EB90B">
            <w:pPr>
              <w:rPr>
                <w:color w:val="auto"/>
                <w:highlight w:val="none"/>
              </w:rPr>
            </w:pPr>
          </w:p>
        </w:tc>
        <w:tc>
          <w:tcPr>
            <w:tcW w:w="1440" w:type="dxa"/>
          </w:tcPr>
          <w:p w14:paraId="2A2DE923">
            <w:pPr>
              <w:rPr>
                <w:color w:val="auto"/>
                <w:highlight w:val="none"/>
              </w:rPr>
            </w:pPr>
          </w:p>
        </w:tc>
        <w:tc>
          <w:tcPr>
            <w:tcW w:w="1440" w:type="dxa"/>
          </w:tcPr>
          <w:p w14:paraId="3E55AD38">
            <w:pPr>
              <w:rPr>
                <w:color w:val="auto"/>
                <w:highlight w:val="none"/>
              </w:rPr>
            </w:pPr>
          </w:p>
        </w:tc>
      </w:tr>
      <w:tr w14:paraId="1B8F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903" w:type="dxa"/>
          </w:tcPr>
          <w:p w14:paraId="5F140B33">
            <w:pPr>
              <w:pStyle w:val="11"/>
              <w:spacing w:line="600" w:lineRule="exact"/>
              <w:rPr>
                <w:rFonts w:ascii="仿宋" w:hAnsi="仿宋" w:eastAsia="仿宋"/>
                <w:color w:val="auto"/>
                <w:sz w:val="24"/>
                <w:szCs w:val="24"/>
                <w:highlight w:val="none"/>
              </w:rPr>
            </w:pPr>
          </w:p>
        </w:tc>
        <w:tc>
          <w:tcPr>
            <w:tcW w:w="1623" w:type="dxa"/>
          </w:tcPr>
          <w:p w14:paraId="1EFE933F">
            <w:pPr>
              <w:pStyle w:val="11"/>
              <w:spacing w:line="600" w:lineRule="exact"/>
              <w:rPr>
                <w:rFonts w:ascii="仿宋" w:hAnsi="仿宋" w:eastAsia="仿宋"/>
                <w:color w:val="auto"/>
                <w:sz w:val="24"/>
                <w:szCs w:val="24"/>
                <w:highlight w:val="none"/>
              </w:rPr>
            </w:pPr>
          </w:p>
        </w:tc>
        <w:tc>
          <w:tcPr>
            <w:tcW w:w="1263" w:type="dxa"/>
          </w:tcPr>
          <w:p w14:paraId="2763AB0F">
            <w:pPr>
              <w:pStyle w:val="11"/>
              <w:spacing w:line="600" w:lineRule="exact"/>
              <w:rPr>
                <w:rFonts w:ascii="仿宋" w:hAnsi="仿宋" w:eastAsia="仿宋"/>
                <w:color w:val="auto"/>
                <w:sz w:val="24"/>
                <w:szCs w:val="24"/>
                <w:highlight w:val="none"/>
              </w:rPr>
            </w:pPr>
          </w:p>
        </w:tc>
        <w:tc>
          <w:tcPr>
            <w:tcW w:w="2343" w:type="dxa"/>
          </w:tcPr>
          <w:p w14:paraId="35A629C1">
            <w:pPr>
              <w:pStyle w:val="11"/>
              <w:spacing w:line="600" w:lineRule="exact"/>
              <w:rPr>
                <w:rFonts w:ascii="仿宋" w:hAnsi="仿宋" w:eastAsia="仿宋"/>
                <w:color w:val="auto"/>
                <w:sz w:val="24"/>
                <w:szCs w:val="24"/>
                <w:highlight w:val="none"/>
              </w:rPr>
            </w:pPr>
          </w:p>
        </w:tc>
        <w:tc>
          <w:tcPr>
            <w:tcW w:w="1440" w:type="dxa"/>
          </w:tcPr>
          <w:p w14:paraId="429C99A5">
            <w:pPr>
              <w:pStyle w:val="11"/>
              <w:spacing w:line="600" w:lineRule="exact"/>
              <w:rPr>
                <w:rFonts w:ascii="仿宋" w:hAnsi="仿宋" w:eastAsia="仿宋"/>
                <w:color w:val="auto"/>
                <w:sz w:val="24"/>
                <w:szCs w:val="24"/>
                <w:highlight w:val="none"/>
              </w:rPr>
            </w:pPr>
          </w:p>
        </w:tc>
        <w:tc>
          <w:tcPr>
            <w:tcW w:w="1440" w:type="dxa"/>
          </w:tcPr>
          <w:p w14:paraId="0CBF2231">
            <w:pPr>
              <w:pStyle w:val="11"/>
              <w:spacing w:line="600" w:lineRule="exact"/>
              <w:rPr>
                <w:rFonts w:ascii="仿宋" w:hAnsi="仿宋" w:eastAsia="仿宋"/>
                <w:color w:val="auto"/>
                <w:sz w:val="24"/>
                <w:szCs w:val="24"/>
                <w:highlight w:val="none"/>
              </w:rPr>
            </w:pPr>
          </w:p>
        </w:tc>
      </w:tr>
      <w:tr w14:paraId="4245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903" w:type="dxa"/>
          </w:tcPr>
          <w:p w14:paraId="660AD386">
            <w:pPr>
              <w:pStyle w:val="11"/>
              <w:spacing w:line="600" w:lineRule="exact"/>
              <w:rPr>
                <w:rFonts w:ascii="仿宋" w:hAnsi="仿宋" w:eastAsia="仿宋"/>
                <w:color w:val="auto"/>
                <w:sz w:val="24"/>
                <w:szCs w:val="24"/>
                <w:highlight w:val="none"/>
              </w:rPr>
            </w:pPr>
          </w:p>
        </w:tc>
        <w:tc>
          <w:tcPr>
            <w:tcW w:w="1623" w:type="dxa"/>
          </w:tcPr>
          <w:p w14:paraId="4861B5AA">
            <w:pPr>
              <w:pStyle w:val="11"/>
              <w:spacing w:line="600" w:lineRule="exact"/>
              <w:rPr>
                <w:rFonts w:ascii="仿宋" w:hAnsi="仿宋" w:eastAsia="仿宋"/>
                <w:color w:val="auto"/>
                <w:sz w:val="24"/>
                <w:szCs w:val="24"/>
                <w:highlight w:val="none"/>
              </w:rPr>
            </w:pPr>
          </w:p>
        </w:tc>
        <w:tc>
          <w:tcPr>
            <w:tcW w:w="1263" w:type="dxa"/>
          </w:tcPr>
          <w:p w14:paraId="67830981">
            <w:pPr>
              <w:pStyle w:val="11"/>
              <w:spacing w:line="600" w:lineRule="exact"/>
              <w:rPr>
                <w:rFonts w:ascii="仿宋" w:hAnsi="仿宋" w:eastAsia="仿宋"/>
                <w:color w:val="auto"/>
                <w:sz w:val="24"/>
                <w:szCs w:val="24"/>
                <w:highlight w:val="none"/>
              </w:rPr>
            </w:pPr>
          </w:p>
        </w:tc>
        <w:tc>
          <w:tcPr>
            <w:tcW w:w="2343" w:type="dxa"/>
          </w:tcPr>
          <w:p w14:paraId="29109665">
            <w:pPr>
              <w:pStyle w:val="11"/>
              <w:spacing w:line="600" w:lineRule="exact"/>
              <w:rPr>
                <w:rFonts w:ascii="仿宋" w:hAnsi="仿宋" w:eastAsia="仿宋"/>
                <w:color w:val="auto"/>
                <w:sz w:val="24"/>
                <w:szCs w:val="24"/>
                <w:highlight w:val="none"/>
              </w:rPr>
            </w:pPr>
          </w:p>
        </w:tc>
        <w:tc>
          <w:tcPr>
            <w:tcW w:w="1440" w:type="dxa"/>
          </w:tcPr>
          <w:p w14:paraId="7C66762E">
            <w:pPr>
              <w:pStyle w:val="11"/>
              <w:spacing w:line="600" w:lineRule="exact"/>
              <w:rPr>
                <w:rFonts w:ascii="仿宋" w:hAnsi="仿宋" w:eastAsia="仿宋"/>
                <w:color w:val="auto"/>
                <w:sz w:val="24"/>
                <w:szCs w:val="24"/>
                <w:highlight w:val="none"/>
              </w:rPr>
            </w:pPr>
          </w:p>
        </w:tc>
        <w:tc>
          <w:tcPr>
            <w:tcW w:w="1440" w:type="dxa"/>
          </w:tcPr>
          <w:p w14:paraId="01D0CC95">
            <w:pPr>
              <w:pStyle w:val="11"/>
              <w:spacing w:line="600" w:lineRule="exact"/>
              <w:rPr>
                <w:rFonts w:ascii="仿宋" w:hAnsi="仿宋" w:eastAsia="仿宋"/>
                <w:color w:val="auto"/>
                <w:sz w:val="24"/>
                <w:szCs w:val="24"/>
                <w:highlight w:val="none"/>
              </w:rPr>
            </w:pPr>
          </w:p>
        </w:tc>
      </w:tr>
      <w:tr w14:paraId="6999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903" w:type="dxa"/>
          </w:tcPr>
          <w:p w14:paraId="72B5B47F">
            <w:pPr>
              <w:pStyle w:val="11"/>
              <w:spacing w:line="600" w:lineRule="exact"/>
              <w:rPr>
                <w:rFonts w:ascii="仿宋" w:hAnsi="仿宋" w:eastAsia="仿宋"/>
                <w:color w:val="auto"/>
                <w:sz w:val="24"/>
                <w:szCs w:val="24"/>
                <w:highlight w:val="none"/>
              </w:rPr>
            </w:pPr>
          </w:p>
        </w:tc>
        <w:tc>
          <w:tcPr>
            <w:tcW w:w="1623" w:type="dxa"/>
          </w:tcPr>
          <w:p w14:paraId="3FDA5B55">
            <w:pPr>
              <w:pStyle w:val="11"/>
              <w:spacing w:line="600" w:lineRule="exact"/>
              <w:rPr>
                <w:rFonts w:ascii="仿宋" w:hAnsi="仿宋" w:eastAsia="仿宋"/>
                <w:color w:val="auto"/>
                <w:sz w:val="24"/>
                <w:szCs w:val="24"/>
                <w:highlight w:val="none"/>
              </w:rPr>
            </w:pPr>
          </w:p>
        </w:tc>
        <w:tc>
          <w:tcPr>
            <w:tcW w:w="1263" w:type="dxa"/>
          </w:tcPr>
          <w:p w14:paraId="36EE94A3">
            <w:pPr>
              <w:pStyle w:val="11"/>
              <w:spacing w:line="600" w:lineRule="exact"/>
              <w:rPr>
                <w:rFonts w:ascii="仿宋" w:hAnsi="仿宋" w:eastAsia="仿宋"/>
                <w:color w:val="auto"/>
                <w:sz w:val="24"/>
                <w:szCs w:val="24"/>
                <w:highlight w:val="none"/>
              </w:rPr>
            </w:pPr>
          </w:p>
        </w:tc>
        <w:tc>
          <w:tcPr>
            <w:tcW w:w="2343" w:type="dxa"/>
          </w:tcPr>
          <w:p w14:paraId="79C8F300">
            <w:pPr>
              <w:pStyle w:val="11"/>
              <w:spacing w:line="600" w:lineRule="exact"/>
              <w:rPr>
                <w:rFonts w:ascii="仿宋" w:hAnsi="仿宋" w:eastAsia="仿宋"/>
                <w:color w:val="auto"/>
                <w:sz w:val="24"/>
                <w:szCs w:val="24"/>
                <w:highlight w:val="none"/>
              </w:rPr>
            </w:pPr>
          </w:p>
        </w:tc>
        <w:tc>
          <w:tcPr>
            <w:tcW w:w="1440" w:type="dxa"/>
          </w:tcPr>
          <w:p w14:paraId="2D1F3346">
            <w:pPr>
              <w:pStyle w:val="11"/>
              <w:spacing w:line="600" w:lineRule="exact"/>
              <w:rPr>
                <w:rFonts w:ascii="仿宋" w:hAnsi="仿宋" w:eastAsia="仿宋"/>
                <w:color w:val="auto"/>
                <w:sz w:val="24"/>
                <w:szCs w:val="24"/>
                <w:highlight w:val="none"/>
              </w:rPr>
            </w:pPr>
          </w:p>
        </w:tc>
        <w:tc>
          <w:tcPr>
            <w:tcW w:w="1440" w:type="dxa"/>
          </w:tcPr>
          <w:p w14:paraId="20FECA0A">
            <w:pPr>
              <w:pStyle w:val="11"/>
              <w:spacing w:line="600" w:lineRule="exact"/>
              <w:rPr>
                <w:rFonts w:ascii="仿宋" w:hAnsi="仿宋" w:eastAsia="仿宋"/>
                <w:color w:val="auto"/>
                <w:sz w:val="24"/>
                <w:szCs w:val="24"/>
                <w:highlight w:val="none"/>
              </w:rPr>
            </w:pPr>
          </w:p>
        </w:tc>
      </w:tr>
    </w:tbl>
    <w:p w14:paraId="48415392">
      <w:pPr>
        <w:pStyle w:val="11"/>
        <w:spacing w:line="600" w:lineRule="exact"/>
        <w:rPr>
          <w:rFonts w:ascii="仿宋" w:hAnsi="仿宋" w:eastAsia="仿宋"/>
          <w:color w:val="auto"/>
          <w:sz w:val="24"/>
          <w:szCs w:val="24"/>
          <w:highlight w:val="none"/>
        </w:rPr>
      </w:pPr>
    </w:p>
    <w:p w14:paraId="0D2FE434">
      <w:pPr>
        <w:pStyle w:val="11"/>
        <w:spacing w:line="600" w:lineRule="exact"/>
        <w:rPr>
          <w:rFonts w:ascii="仿宋" w:hAnsi="仿宋" w:eastAsia="仿宋"/>
          <w:color w:val="auto"/>
          <w:sz w:val="24"/>
          <w:szCs w:val="24"/>
          <w:highlight w:val="none"/>
        </w:rPr>
      </w:pPr>
    </w:p>
    <w:p w14:paraId="01526268">
      <w:pPr>
        <w:pStyle w:val="11"/>
        <w:spacing w:line="600" w:lineRule="exact"/>
        <w:rPr>
          <w:rFonts w:ascii="仿宋" w:hAnsi="仿宋" w:eastAsia="仿宋"/>
          <w:color w:val="auto"/>
          <w:sz w:val="24"/>
          <w:szCs w:val="24"/>
          <w:highlight w:val="none"/>
        </w:rPr>
      </w:pPr>
    </w:p>
    <w:p w14:paraId="5095D625">
      <w:pPr>
        <w:pStyle w:val="11"/>
        <w:spacing w:line="600" w:lineRule="exact"/>
        <w:rPr>
          <w:rFonts w:ascii="仿宋" w:hAnsi="仿宋" w:eastAsia="仿宋"/>
          <w:color w:val="auto"/>
          <w:sz w:val="24"/>
          <w:szCs w:val="24"/>
          <w:highlight w:val="none"/>
        </w:rPr>
      </w:pPr>
    </w:p>
    <w:p w14:paraId="1F452349">
      <w:pPr>
        <w:pStyle w:val="11"/>
        <w:spacing w:line="600" w:lineRule="exact"/>
        <w:rPr>
          <w:rFonts w:ascii="仿宋" w:hAnsi="仿宋" w:eastAsia="仿宋"/>
          <w:color w:val="auto"/>
          <w:sz w:val="24"/>
          <w:szCs w:val="24"/>
          <w:highlight w:val="none"/>
        </w:rPr>
      </w:pPr>
    </w:p>
    <w:p w14:paraId="3A675E4B">
      <w:pPr>
        <w:spacing w:line="600" w:lineRule="exact"/>
        <w:rPr>
          <w:rFonts w:ascii="仿宋" w:hAnsi="仿宋" w:eastAsia="仿宋"/>
          <w:color w:val="auto"/>
          <w:sz w:val="24"/>
          <w:highlight w:val="none"/>
        </w:rPr>
      </w:pPr>
      <w:r>
        <w:rPr>
          <w:rFonts w:hint="eastAsia" w:ascii="仿宋" w:hAnsi="仿宋" w:eastAsia="仿宋"/>
          <w:color w:val="auto"/>
          <w:sz w:val="24"/>
          <w:highlight w:val="none"/>
        </w:rPr>
        <w:t>投标人授权代表签字：____________________</w:t>
      </w:r>
    </w:p>
    <w:p w14:paraId="2A99349F">
      <w:pPr>
        <w:keepNext/>
        <w:keepLines/>
        <w:spacing w:before="260" w:after="260" w:line="560" w:lineRule="exact"/>
        <w:outlineLvl w:val="1"/>
        <w:rPr>
          <w:rFonts w:ascii="仿宋" w:hAnsi="仿宋" w:eastAsia="仿宋" w:cs="仿宋"/>
          <w:b/>
          <w:color w:val="auto"/>
          <w:sz w:val="28"/>
          <w:szCs w:val="28"/>
          <w:highlight w:val="none"/>
        </w:rPr>
      </w:pPr>
      <w:r>
        <w:rPr>
          <w:rFonts w:hint="eastAsia" w:ascii="仿宋" w:hAnsi="仿宋" w:eastAsia="仿宋"/>
          <w:color w:val="auto"/>
          <w:sz w:val="24"/>
          <w:highlight w:val="none"/>
        </w:rPr>
        <w:t xml:space="preserve">投标人(盖章):    </w:t>
      </w:r>
    </w:p>
    <w:p w14:paraId="52847547">
      <w:pPr>
        <w:keepNext/>
        <w:keepLines/>
        <w:spacing w:before="260" w:after="260" w:line="560" w:lineRule="exact"/>
        <w:outlineLvl w:val="1"/>
        <w:rPr>
          <w:rFonts w:ascii="仿宋" w:hAnsi="仿宋" w:eastAsia="仿宋" w:cs="仿宋"/>
          <w:b/>
          <w:color w:val="auto"/>
          <w:sz w:val="28"/>
          <w:szCs w:val="28"/>
          <w:highlight w:val="none"/>
        </w:rPr>
      </w:pPr>
    </w:p>
    <w:p w14:paraId="3E940381">
      <w:pPr>
        <w:keepNext/>
        <w:keepLines/>
        <w:spacing w:before="260" w:after="260" w:line="560" w:lineRule="exact"/>
        <w:outlineLvl w:val="1"/>
        <w:rPr>
          <w:rFonts w:ascii="仿宋" w:hAnsi="仿宋" w:eastAsia="仿宋" w:cs="仿宋"/>
          <w:b/>
          <w:color w:val="auto"/>
          <w:sz w:val="28"/>
          <w:szCs w:val="28"/>
          <w:highlight w:val="none"/>
        </w:rPr>
      </w:pPr>
    </w:p>
    <w:bookmarkEnd w:id="178"/>
    <w:p w14:paraId="4F57361E">
      <w:pPr>
        <w:rPr>
          <w:rFonts w:ascii="仿宋" w:hAnsi="仿宋" w:eastAsia="仿宋" w:cs="仿宋"/>
          <w:color w:val="auto"/>
          <w:sz w:val="28"/>
          <w:szCs w:val="28"/>
          <w:highlight w:val="none"/>
        </w:rPr>
      </w:pPr>
      <w:bookmarkStart w:id="185" w:name="_Toc8336"/>
    </w:p>
    <w:bookmarkEnd w:id="185"/>
    <w:p w14:paraId="5FC3F6F6">
      <w:pPr>
        <w:pStyle w:val="5"/>
        <w:spacing w:before="0" w:line="560" w:lineRule="exact"/>
        <w:jc w:val="center"/>
        <w:rPr>
          <w:rFonts w:ascii="仿宋" w:hAnsi="仿宋" w:eastAsia="仿宋" w:cs="仿宋"/>
          <w:color w:val="auto"/>
          <w:sz w:val="28"/>
          <w:szCs w:val="28"/>
          <w:highlight w:val="none"/>
        </w:rPr>
      </w:pPr>
      <w:bookmarkStart w:id="186" w:name="_Toc15556"/>
      <w:r>
        <w:rPr>
          <w:rFonts w:hint="eastAsia" w:ascii="仿宋" w:hAnsi="仿宋" w:eastAsia="仿宋" w:cs="仿宋"/>
          <w:color w:val="auto"/>
          <w:sz w:val="28"/>
          <w:szCs w:val="28"/>
          <w:highlight w:val="none"/>
        </w:rPr>
        <w:t>（五）招标文件中要求的其他证明材料</w:t>
      </w:r>
      <w:bookmarkEnd w:id="186"/>
    </w:p>
    <w:p w14:paraId="7BE621F1">
      <w:pPr>
        <w:pStyle w:val="6"/>
        <w:widowControl/>
        <w:spacing w:line="360" w:lineRule="auto"/>
        <w:ind w:firstLine="3024" w:firstLineChars="1200"/>
        <w:rPr>
          <w:color w:val="auto"/>
          <w:highlight w:val="none"/>
        </w:rPr>
      </w:pPr>
      <w:r>
        <w:rPr>
          <w:rFonts w:hint="eastAsia" w:ascii="仿宋" w:hAnsi="仿宋" w:eastAsia="仿宋" w:cs="仿宋"/>
          <w:color w:val="auto"/>
          <w:spacing w:val="6"/>
          <w:kern w:val="2"/>
          <w:sz w:val="24"/>
          <w:highlight w:val="none"/>
        </w:rPr>
        <w:t>如：业绩等证明材料</w:t>
      </w:r>
    </w:p>
    <w:p w14:paraId="46B10DF1">
      <w:pPr>
        <w:tabs>
          <w:tab w:val="left" w:pos="567"/>
        </w:tabs>
        <w:overflowPunct w:val="0"/>
        <w:spacing w:before="156" w:beforeLines="50" w:line="360" w:lineRule="auto"/>
        <w:ind w:left="210" w:right="210"/>
        <w:jc w:val="center"/>
        <w:rPr>
          <w:rFonts w:eastAsia="仿宋"/>
          <w:b/>
          <w:color w:val="auto"/>
          <w:sz w:val="28"/>
          <w:szCs w:val="28"/>
          <w:highlight w:val="none"/>
        </w:rPr>
      </w:pPr>
      <w:r>
        <w:rPr>
          <w:rFonts w:eastAsia="仿宋"/>
          <w:b/>
          <w:color w:val="auto"/>
          <w:sz w:val="28"/>
          <w:szCs w:val="28"/>
          <w:highlight w:val="none"/>
        </w:rPr>
        <w:t>（加盖投标人公章）</w:t>
      </w:r>
    </w:p>
    <w:p w14:paraId="1170A5E7">
      <w:pPr>
        <w:pStyle w:val="45"/>
        <w:ind w:left="420" w:firstLine="640"/>
        <w:rPr>
          <w:color w:val="auto"/>
          <w:highlight w:val="none"/>
        </w:rPr>
      </w:pPr>
    </w:p>
    <w:sectPr>
      <w:footerReference r:id="rId3" w:type="default"/>
      <w:pgSz w:w="11906" w:h="16838"/>
      <w:pgMar w:top="1440" w:right="1633"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BCE2C5-4E2D-4FF1-A4F0-0D8ED6E7E327}"/>
  </w:font>
  <w:font w:name="Arial">
    <w:panose1 w:val="020B0604020202020204"/>
    <w:charset w:val="01"/>
    <w:family w:val="swiss"/>
    <w:pitch w:val="default"/>
    <w:sig w:usb0="E0002AFF" w:usb1="C0007843" w:usb2="00000009" w:usb3="00000000" w:csb0="400001FF" w:csb1="FFFF0000"/>
    <w:embedRegular r:id="rId2" w:fontKey="{911BE03C-B636-47AE-B799-FEF689272DE5}"/>
  </w:font>
  <w:font w:name="黑体">
    <w:panose1 w:val="02010609060101010101"/>
    <w:charset w:val="86"/>
    <w:family w:val="auto"/>
    <w:pitch w:val="default"/>
    <w:sig w:usb0="800002BF" w:usb1="38CF7CFA" w:usb2="00000016" w:usb3="00000000" w:csb0="00040001" w:csb1="00000000"/>
    <w:embedRegular r:id="rId3" w:fontKey="{71C42146-D5DD-41AB-B458-ED794096DA58}"/>
  </w:font>
  <w:font w:name="Courier New">
    <w:panose1 w:val="02070309020205020404"/>
    <w:charset w:val="01"/>
    <w:family w:val="modern"/>
    <w:pitch w:val="default"/>
    <w:sig w:usb0="E0002AFF" w:usb1="C0007843" w:usb2="00000009" w:usb3="00000000" w:csb0="400001FF" w:csb1="FFFF0000"/>
    <w:embedRegular r:id="rId4" w:fontKey="{1C986639-E466-4903-B883-D4F9CC9CE403}"/>
  </w:font>
  <w:font w:name="Symbol">
    <w:panose1 w:val="05050102010706020507"/>
    <w:charset w:val="02"/>
    <w:family w:val="roman"/>
    <w:pitch w:val="default"/>
    <w:sig w:usb0="00000000" w:usb1="00000000" w:usb2="00000000" w:usb3="00000000" w:csb0="80000000" w:csb1="00000000"/>
    <w:embedRegular r:id="rId5" w:fontKey="{5189A2A2-D44D-4E51-8480-D80D4EE9193F}"/>
  </w:font>
  <w:font w:name="Calibri">
    <w:panose1 w:val="020F0502020204030204"/>
    <w:charset w:val="00"/>
    <w:family w:val="swiss"/>
    <w:pitch w:val="default"/>
    <w:sig w:usb0="E00002FF" w:usb1="4000ACFF" w:usb2="00000001" w:usb3="00000000" w:csb0="2000019F" w:csb1="00000000"/>
    <w:embedRegular r:id="rId6" w:fontKey="{3DBD6770-D44B-4CCC-8AC7-71EAA176773D}"/>
  </w:font>
  <w:font w:name="仿宋_GB2312">
    <w:panose1 w:val="02010609030101010101"/>
    <w:charset w:val="86"/>
    <w:family w:val="modern"/>
    <w:pitch w:val="default"/>
    <w:sig w:usb0="00000001" w:usb1="080E0000" w:usb2="00000000" w:usb3="00000000" w:csb0="00040000" w:csb1="00000000"/>
    <w:embedRegular r:id="rId7" w:fontKey="{B430A8D4-3C3B-4D0E-845E-C4F6F1075174}"/>
  </w:font>
  <w:font w:name="Cambria">
    <w:panose1 w:val="02040503050406030204"/>
    <w:charset w:val="00"/>
    <w:family w:val="roman"/>
    <w:pitch w:val="default"/>
    <w:sig w:usb0="E00002FF" w:usb1="400004FF" w:usb2="00000000" w:usb3="00000000" w:csb0="2000019F" w:csb1="00000000"/>
    <w:embedRegular r:id="rId8" w:fontKey="{FA5E04BA-9FF4-4AE1-A454-3A389754F854}"/>
  </w:font>
  <w:font w:name="仿宋">
    <w:panose1 w:val="02010609060101010101"/>
    <w:charset w:val="86"/>
    <w:family w:val="modern"/>
    <w:pitch w:val="default"/>
    <w:sig w:usb0="800002BF" w:usb1="38CF7CFA" w:usb2="00000016" w:usb3="00000000" w:csb0="00040001" w:csb1="00000000"/>
    <w:embedRegular r:id="rId9" w:fontKey="{0341AD62-A447-4284-870A-511C05E08FC1}"/>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88DF9">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12065" b="0"/>
              <wp:wrapNone/>
              <wp:docPr id="3" name="文本框 3"/>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6350">
                        <a:noFill/>
                      </a:ln>
                      <a:effectLst/>
                    </wps:spPr>
                    <wps:txbx>
                      <w:txbxContent>
                        <w:p w14:paraId="4E66323D">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nKAz0QAAAAMBAAAPAAAAAAAAAAEAIAAAACIAAABkcnMvZG93bnJldi54bWxQ&#10;SwECFAAUAAAACACHTuJA8O2EqDcCAABhBAAADgAAAAAAAAABACAAAAAgAQAAZHJzL2Uyb0RvYy54&#10;bWxQSwUGAAAAAAYABgBZAQAAyQUAAAAA&#10;">
              <v:fill on="f" focussize="0,0"/>
              <v:stroke on="f" weight="0.5pt"/>
              <v:imagedata o:title=""/>
              <o:lock v:ext="edit" aspectratio="f"/>
              <v:textbox inset="0mm,0mm,0mm,0mm" style="mso-fit-shape-to-text:t;">
                <w:txbxContent>
                  <w:p w14:paraId="4E66323D">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D17B05"/>
    <w:multiLevelType w:val="singleLevel"/>
    <w:tmpl w:val="2AD17B05"/>
    <w:lvl w:ilvl="0" w:tentative="0">
      <w:start w:val="4"/>
      <w:numFmt w:val="chineseCounting"/>
      <w:suff w:val="space"/>
      <w:lvlText w:val="第%1章"/>
      <w:lvlJc w:val="left"/>
      <w:rPr>
        <w:rFonts w:hint="eastAsia"/>
      </w:rPr>
    </w:lvl>
  </w:abstractNum>
  <w:abstractNum w:abstractNumId="1">
    <w:nsid w:val="2D0DE168"/>
    <w:multiLevelType w:val="singleLevel"/>
    <w:tmpl w:val="2D0DE168"/>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3NjM5Njk3M2M5NTlkNDBmYWNkZjI5YjViYjAyZDQifQ=="/>
    <w:docVar w:name="KSO_WPS_MARK_KEY" w:val="6219a255-d2e9-45ba-9d19-b6ea09842306"/>
  </w:docVars>
  <w:rsids>
    <w:rsidRoot w:val="00B20B25"/>
    <w:rsid w:val="00001015"/>
    <w:rsid w:val="0000393A"/>
    <w:rsid w:val="00013DA7"/>
    <w:rsid w:val="00025469"/>
    <w:rsid w:val="00026964"/>
    <w:rsid w:val="00037CAA"/>
    <w:rsid w:val="00046801"/>
    <w:rsid w:val="000634E6"/>
    <w:rsid w:val="00066C26"/>
    <w:rsid w:val="00085369"/>
    <w:rsid w:val="00092BB0"/>
    <w:rsid w:val="000A15A6"/>
    <w:rsid w:val="000A3244"/>
    <w:rsid w:val="000B0815"/>
    <w:rsid w:val="000B2888"/>
    <w:rsid w:val="000C13DF"/>
    <w:rsid w:val="000C1798"/>
    <w:rsid w:val="000C20B1"/>
    <w:rsid w:val="000C45AD"/>
    <w:rsid w:val="000C5491"/>
    <w:rsid w:val="000C69D5"/>
    <w:rsid w:val="000F33C4"/>
    <w:rsid w:val="0010565E"/>
    <w:rsid w:val="0010667D"/>
    <w:rsid w:val="0011228A"/>
    <w:rsid w:val="00114512"/>
    <w:rsid w:val="00116483"/>
    <w:rsid w:val="00126F9B"/>
    <w:rsid w:val="001275E8"/>
    <w:rsid w:val="00131289"/>
    <w:rsid w:val="00140A85"/>
    <w:rsid w:val="00155A06"/>
    <w:rsid w:val="00157E98"/>
    <w:rsid w:val="001700E2"/>
    <w:rsid w:val="001703AC"/>
    <w:rsid w:val="00181A01"/>
    <w:rsid w:val="00182A85"/>
    <w:rsid w:val="0018357D"/>
    <w:rsid w:val="001852E3"/>
    <w:rsid w:val="001A5C34"/>
    <w:rsid w:val="001A76CF"/>
    <w:rsid w:val="001B29AD"/>
    <w:rsid w:val="001B40F3"/>
    <w:rsid w:val="001C17A1"/>
    <w:rsid w:val="001E25F7"/>
    <w:rsid w:val="001E796A"/>
    <w:rsid w:val="001F2F43"/>
    <w:rsid w:val="001F4319"/>
    <w:rsid w:val="00213CF6"/>
    <w:rsid w:val="00226190"/>
    <w:rsid w:val="002316D7"/>
    <w:rsid w:val="00234EE2"/>
    <w:rsid w:val="002410F1"/>
    <w:rsid w:val="00243020"/>
    <w:rsid w:val="0024782E"/>
    <w:rsid w:val="00251494"/>
    <w:rsid w:val="00251923"/>
    <w:rsid w:val="002658F2"/>
    <w:rsid w:val="00270533"/>
    <w:rsid w:val="002801FB"/>
    <w:rsid w:val="00284404"/>
    <w:rsid w:val="00287B99"/>
    <w:rsid w:val="002902F6"/>
    <w:rsid w:val="002A4203"/>
    <w:rsid w:val="002A4393"/>
    <w:rsid w:val="002B0E21"/>
    <w:rsid w:val="002B12ED"/>
    <w:rsid w:val="002C1256"/>
    <w:rsid w:val="002C1837"/>
    <w:rsid w:val="002C7802"/>
    <w:rsid w:val="002C7BAD"/>
    <w:rsid w:val="00301460"/>
    <w:rsid w:val="003124BD"/>
    <w:rsid w:val="00315954"/>
    <w:rsid w:val="003242CB"/>
    <w:rsid w:val="003277C7"/>
    <w:rsid w:val="003448CE"/>
    <w:rsid w:val="003517CB"/>
    <w:rsid w:val="00351E52"/>
    <w:rsid w:val="00360A76"/>
    <w:rsid w:val="00362936"/>
    <w:rsid w:val="003656E7"/>
    <w:rsid w:val="00365813"/>
    <w:rsid w:val="00365869"/>
    <w:rsid w:val="003727DB"/>
    <w:rsid w:val="003A2215"/>
    <w:rsid w:val="003A31F9"/>
    <w:rsid w:val="003A4775"/>
    <w:rsid w:val="003C4918"/>
    <w:rsid w:val="003C6ED2"/>
    <w:rsid w:val="003D15A5"/>
    <w:rsid w:val="003E24C8"/>
    <w:rsid w:val="003E2D9E"/>
    <w:rsid w:val="003E4697"/>
    <w:rsid w:val="00400CE3"/>
    <w:rsid w:val="00410037"/>
    <w:rsid w:val="00412019"/>
    <w:rsid w:val="004203E4"/>
    <w:rsid w:val="004268D3"/>
    <w:rsid w:val="00444200"/>
    <w:rsid w:val="00446DDB"/>
    <w:rsid w:val="0045201A"/>
    <w:rsid w:val="00454217"/>
    <w:rsid w:val="00457F91"/>
    <w:rsid w:val="00461554"/>
    <w:rsid w:val="004B067F"/>
    <w:rsid w:val="004B5829"/>
    <w:rsid w:val="004D19B2"/>
    <w:rsid w:val="004D4ABA"/>
    <w:rsid w:val="004E12E6"/>
    <w:rsid w:val="004E2BC8"/>
    <w:rsid w:val="004E406D"/>
    <w:rsid w:val="004E725F"/>
    <w:rsid w:val="005016BD"/>
    <w:rsid w:val="0051346E"/>
    <w:rsid w:val="00526E78"/>
    <w:rsid w:val="00540D33"/>
    <w:rsid w:val="005514C9"/>
    <w:rsid w:val="00552AF8"/>
    <w:rsid w:val="00556F2A"/>
    <w:rsid w:val="00563C3B"/>
    <w:rsid w:val="005651EA"/>
    <w:rsid w:val="00577B00"/>
    <w:rsid w:val="005821DC"/>
    <w:rsid w:val="00583890"/>
    <w:rsid w:val="005B0F19"/>
    <w:rsid w:val="005B6C24"/>
    <w:rsid w:val="005E367F"/>
    <w:rsid w:val="005F0E85"/>
    <w:rsid w:val="00600AE0"/>
    <w:rsid w:val="00604424"/>
    <w:rsid w:val="006347D5"/>
    <w:rsid w:val="006454EC"/>
    <w:rsid w:val="006506B2"/>
    <w:rsid w:val="00656139"/>
    <w:rsid w:val="00663DA2"/>
    <w:rsid w:val="006672D7"/>
    <w:rsid w:val="006741E6"/>
    <w:rsid w:val="00680E80"/>
    <w:rsid w:val="006859D0"/>
    <w:rsid w:val="006914C4"/>
    <w:rsid w:val="00694380"/>
    <w:rsid w:val="006A64EB"/>
    <w:rsid w:val="006B2A18"/>
    <w:rsid w:val="006B2FFE"/>
    <w:rsid w:val="006B6C3B"/>
    <w:rsid w:val="006C6FE5"/>
    <w:rsid w:val="006D0116"/>
    <w:rsid w:val="006D6306"/>
    <w:rsid w:val="006E1423"/>
    <w:rsid w:val="006E70EF"/>
    <w:rsid w:val="006F306B"/>
    <w:rsid w:val="006F6937"/>
    <w:rsid w:val="00702974"/>
    <w:rsid w:val="00704E59"/>
    <w:rsid w:val="0070544C"/>
    <w:rsid w:val="0071482E"/>
    <w:rsid w:val="00715798"/>
    <w:rsid w:val="00740857"/>
    <w:rsid w:val="007471E7"/>
    <w:rsid w:val="0075066F"/>
    <w:rsid w:val="00752638"/>
    <w:rsid w:val="00753813"/>
    <w:rsid w:val="00756337"/>
    <w:rsid w:val="00761EB2"/>
    <w:rsid w:val="00764A76"/>
    <w:rsid w:val="00774533"/>
    <w:rsid w:val="007755C7"/>
    <w:rsid w:val="007768F5"/>
    <w:rsid w:val="007925F7"/>
    <w:rsid w:val="007A1658"/>
    <w:rsid w:val="007A2A7F"/>
    <w:rsid w:val="007A30DE"/>
    <w:rsid w:val="007B2668"/>
    <w:rsid w:val="007B35E8"/>
    <w:rsid w:val="007C1D0A"/>
    <w:rsid w:val="007E3782"/>
    <w:rsid w:val="007E78E5"/>
    <w:rsid w:val="007F5A6E"/>
    <w:rsid w:val="008077DA"/>
    <w:rsid w:val="00811289"/>
    <w:rsid w:val="008116D0"/>
    <w:rsid w:val="00820CCE"/>
    <w:rsid w:val="008236B3"/>
    <w:rsid w:val="00824A5A"/>
    <w:rsid w:val="00836A4E"/>
    <w:rsid w:val="00847481"/>
    <w:rsid w:val="00860E6D"/>
    <w:rsid w:val="008612B9"/>
    <w:rsid w:val="00864CE2"/>
    <w:rsid w:val="00864E2F"/>
    <w:rsid w:val="00865248"/>
    <w:rsid w:val="008675C2"/>
    <w:rsid w:val="00880671"/>
    <w:rsid w:val="00882C45"/>
    <w:rsid w:val="00884CF6"/>
    <w:rsid w:val="008938D3"/>
    <w:rsid w:val="00894DC6"/>
    <w:rsid w:val="00895FA0"/>
    <w:rsid w:val="008A0213"/>
    <w:rsid w:val="008A3D12"/>
    <w:rsid w:val="008B737F"/>
    <w:rsid w:val="008D2287"/>
    <w:rsid w:val="008E097F"/>
    <w:rsid w:val="008E0C60"/>
    <w:rsid w:val="008F2FAF"/>
    <w:rsid w:val="00901C05"/>
    <w:rsid w:val="00907E2C"/>
    <w:rsid w:val="00910090"/>
    <w:rsid w:val="009106C7"/>
    <w:rsid w:val="009237CB"/>
    <w:rsid w:val="0092798C"/>
    <w:rsid w:val="009310DC"/>
    <w:rsid w:val="00940D67"/>
    <w:rsid w:val="009630DA"/>
    <w:rsid w:val="00966B66"/>
    <w:rsid w:val="00971FCF"/>
    <w:rsid w:val="00977944"/>
    <w:rsid w:val="009801FB"/>
    <w:rsid w:val="0098420E"/>
    <w:rsid w:val="009A6724"/>
    <w:rsid w:val="009C6250"/>
    <w:rsid w:val="009F15F2"/>
    <w:rsid w:val="00A17BE4"/>
    <w:rsid w:val="00A224D9"/>
    <w:rsid w:val="00A263BB"/>
    <w:rsid w:val="00A354BD"/>
    <w:rsid w:val="00A355BE"/>
    <w:rsid w:val="00A64F46"/>
    <w:rsid w:val="00A67A69"/>
    <w:rsid w:val="00A86222"/>
    <w:rsid w:val="00A90582"/>
    <w:rsid w:val="00A95DEB"/>
    <w:rsid w:val="00A97634"/>
    <w:rsid w:val="00AB040E"/>
    <w:rsid w:val="00AB0EDD"/>
    <w:rsid w:val="00AB130B"/>
    <w:rsid w:val="00AB16A3"/>
    <w:rsid w:val="00AB7C54"/>
    <w:rsid w:val="00AE4F11"/>
    <w:rsid w:val="00AF267C"/>
    <w:rsid w:val="00AF34E8"/>
    <w:rsid w:val="00AF5921"/>
    <w:rsid w:val="00B03A2A"/>
    <w:rsid w:val="00B12264"/>
    <w:rsid w:val="00B12D78"/>
    <w:rsid w:val="00B17C02"/>
    <w:rsid w:val="00B20B25"/>
    <w:rsid w:val="00B2680E"/>
    <w:rsid w:val="00B33052"/>
    <w:rsid w:val="00B45323"/>
    <w:rsid w:val="00B55DB5"/>
    <w:rsid w:val="00B645CE"/>
    <w:rsid w:val="00B64CA0"/>
    <w:rsid w:val="00B77926"/>
    <w:rsid w:val="00B80DEC"/>
    <w:rsid w:val="00B812DC"/>
    <w:rsid w:val="00B81DF8"/>
    <w:rsid w:val="00B85AE4"/>
    <w:rsid w:val="00B938FB"/>
    <w:rsid w:val="00BB10D3"/>
    <w:rsid w:val="00BB179F"/>
    <w:rsid w:val="00BB38CA"/>
    <w:rsid w:val="00BB6424"/>
    <w:rsid w:val="00BC2789"/>
    <w:rsid w:val="00BC4805"/>
    <w:rsid w:val="00BC51F8"/>
    <w:rsid w:val="00BC5F31"/>
    <w:rsid w:val="00BD2DC7"/>
    <w:rsid w:val="00BE67EC"/>
    <w:rsid w:val="00BF76D2"/>
    <w:rsid w:val="00C03F32"/>
    <w:rsid w:val="00C10DA9"/>
    <w:rsid w:val="00C1241B"/>
    <w:rsid w:val="00C207F4"/>
    <w:rsid w:val="00C224C0"/>
    <w:rsid w:val="00C2264B"/>
    <w:rsid w:val="00C24DDE"/>
    <w:rsid w:val="00C42FDA"/>
    <w:rsid w:val="00C43FD8"/>
    <w:rsid w:val="00C64B48"/>
    <w:rsid w:val="00C66F47"/>
    <w:rsid w:val="00C7560F"/>
    <w:rsid w:val="00C833CC"/>
    <w:rsid w:val="00C912D3"/>
    <w:rsid w:val="00CA161B"/>
    <w:rsid w:val="00CB1973"/>
    <w:rsid w:val="00CB7BFD"/>
    <w:rsid w:val="00CE47FC"/>
    <w:rsid w:val="00CE7DF4"/>
    <w:rsid w:val="00CF0F60"/>
    <w:rsid w:val="00D104FD"/>
    <w:rsid w:val="00D10B3D"/>
    <w:rsid w:val="00D15DAA"/>
    <w:rsid w:val="00D15DC6"/>
    <w:rsid w:val="00D17C2A"/>
    <w:rsid w:val="00D20938"/>
    <w:rsid w:val="00D20EA9"/>
    <w:rsid w:val="00D317EB"/>
    <w:rsid w:val="00D4529C"/>
    <w:rsid w:val="00D47C5E"/>
    <w:rsid w:val="00D50A29"/>
    <w:rsid w:val="00D57638"/>
    <w:rsid w:val="00D6430B"/>
    <w:rsid w:val="00D64CE7"/>
    <w:rsid w:val="00D67DE8"/>
    <w:rsid w:val="00D836A1"/>
    <w:rsid w:val="00D9737E"/>
    <w:rsid w:val="00DA0631"/>
    <w:rsid w:val="00DB3058"/>
    <w:rsid w:val="00DC0A02"/>
    <w:rsid w:val="00DC7C94"/>
    <w:rsid w:val="00DD5ADE"/>
    <w:rsid w:val="00DD6380"/>
    <w:rsid w:val="00DD7925"/>
    <w:rsid w:val="00DE0AB3"/>
    <w:rsid w:val="00DE1EE7"/>
    <w:rsid w:val="00DE3A16"/>
    <w:rsid w:val="00DE73AE"/>
    <w:rsid w:val="00DF1D5E"/>
    <w:rsid w:val="00E02897"/>
    <w:rsid w:val="00E17F42"/>
    <w:rsid w:val="00E2454A"/>
    <w:rsid w:val="00E24CC8"/>
    <w:rsid w:val="00E3115B"/>
    <w:rsid w:val="00E32E6D"/>
    <w:rsid w:val="00E352CC"/>
    <w:rsid w:val="00E36979"/>
    <w:rsid w:val="00E50385"/>
    <w:rsid w:val="00E50437"/>
    <w:rsid w:val="00E8236E"/>
    <w:rsid w:val="00E84272"/>
    <w:rsid w:val="00E906B4"/>
    <w:rsid w:val="00EA0571"/>
    <w:rsid w:val="00EA2CCC"/>
    <w:rsid w:val="00EB34D8"/>
    <w:rsid w:val="00EB41A2"/>
    <w:rsid w:val="00EB6610"/>
    <w:rsid w:val="00EC51CF"/>
    <w:rsid w:val="00EC7F2C"/>
    <w:rsid w:val="00ED14A3"/>
    <w:rsid w:val="00ED1BF1"/>
    <w:rsid w:val="00ED2296"/>
    <w:rsid w:val="00EE401C"/>
    <w:rsid w:val="00EF1C9D"/>
    <w:rsid w:val="00EF3A04"/>
    <w:rsid w:val="00EF45B7"/>
    <w:rsid w:val="00EF65A3"/>
    <w:rsid w:val="00F02856"/>
    <w:rsid w:val="00F0653F"/>
    <w:rsid w:val="00F1268F"/>
    <w:rsid w:val="00F20A72"/>
    <w:rsid w:val="00F251FC"/>
    <w:rsid w:val="00F3164D"/>
    <w:rsid w:val="00F41E28"/>
    <w:rsid w:val="00F47FF7"/>
    <w:rsid w:val="00F61232"/>
    <w:rsid w:val="00F64639"/>
    <w:rsid w:val="00F67BEE"/>
    <w:rsid w:val="00F75ECE"/>
    <w:rsid w:val="00F76CFC"/>
    <w:rsid w:val="00F82AE4"/>
    <w:rsid w:val="00F83E6E"/>
    <w:rsid w:val="00F955A0"/>
    <w:rsid w:val="00F95D10"/>
    <w:rsid w:val="00F969AE"/>
    <w:rsid w:val="00FA1194"/>
    <w:rsid w:val="00FB148C"/>
    <w:rsid w:val="00FB2F95"/>
    <w:rsid w:val="00FB7EF4"/>
    <w:rsid w:val="00FF7D32"/>
    <w:rsid w:val="010B1E00"/>
    <w:rsid w:val="0136732D"/>
    <w:rsid w:val="01374E54"/>
    <w:rsid w:val="0153214F"/>
    <w:rsid w:val="015628C3"/>
    <w:rsid w:val="015662C8"/>
    <w:rsid w:val="015B5A62"/>
    <w:rsid w:val="01E202A3"/>
    <w:rsid w:val="01F01F8D"/>
    <w:rsid w:val="02025461"/>
    <w:rsid w:val="020E3E06"/>
    <w:rsid w:val="02165AE5"/>
    <w:rsid w:val="0216715F"/>
    <w:rsid w:val="02223D56"/>
    <w:rsid w:val="0227136C"/>
    <w:rsid w:val="022B3727"/>
    <w:rsid w:val="023228D6"/>
    <w:rsid w:val="0234619E"/>
    <w:rsid w:val="023F0464"/>
    <w:rsid w:val="02405F8A"/>
    <w:rsid w:val="024B5B76"/>
    <w:rsid w:val="02506715"/>
    <w:rsid w:val="02593DFB"/>
    <w:rsid w:val="025B37EE"/>
    <w:rsid w:val="026C2FDA"/>
    <w:rsid w:val="02720839"/>
    <w:rsid w:val="0281282A"/>
    <w:rsid w:val="0293200C"/>
    <w:rsid w:val="02F11783"/>
    <w:rsid w:val="02F92847"/>
    <w:rsid w:val="02F94AB6"/>
    <w:rsid w:val="02FE7E52"/>
    <w:rsid w:val="0301393C"/>
    <w:rsid w:val="03050CF6"/>
    <w:rsid w:val="030F3F72"/>
    <w:rsid w:val="031C2553"/>
    <w:rsid w:val="032340D0"/>
    <w:rsid w:val="03465B2E"/>
    <w:rsid w:val="035A3094"/>
    <w:rsid w:val="038822C3"/>
    <w:rsid w:val="038B1487"/>
    <w:rsid w:val="038C2723"/>
    <w:rsid w:val="038D16A3"/>
    <w:rsid w:val="03AB0B2B"/>
    <w:rsid w:val="03AE0618"/>
    <w:rsid w:val="03C77524"/>
    <w:rsid w:val="03C95A0C"/>
    <w:rsid w:val="03CC65BF"/>
    <w:rsid w:val="03EC16DB"/>
    <w:rsid w:val="04090D29"/>
    <w:rsid w:val="04167D72"/>
    <w:rsid w:val="041C3746"/>
    <w:rsid w:val="041F054D"/>
    <w:rsid w:val="044449FD"/>
    <w:rsid w:val="04477AA3"/>
    <w:rsid w:val="04671E9F"/>
    <w:rsid w:val="04714B20"/>
    <w:rsid w:val="04900FF7"/>
    <w:rsid w:val="049F343C"/>
    <w:rsid w:val="04A00AA3"/>
    <w:rsid w:val="04AD040F"/>
    <w:rsid w:val="04B828F9"/>
    <w:rsid w:val="04C307C7"/>
    <w:rsid w:val="04C5551C"/>
    <w:rsid w:val="04CB6271"/>
    <w:rsid w:val="04ED41A7"/>
    <w:rsid w:val="04FE63B4"/>
    <w:rsid w:val="052878D5"/>
    <w:rsid w:val="052973DE"/>
    <w:rsid w:val="052C2D47"/>
    <w:rsid w:val="05397915"/>
    <w:rsid w:val="054144F3"/>
    <w:rsid w:val="05470A00"/>
    <w:rsid w:val="054C206A"/>
    <w:rsid w:val="055108BB"/>
    <w:rsid w:val="05665D07"/>
    <w:rsid w:val="05687CD1"/>
    <w:rsid w:val="056D52E8"/>
    <w:rsid w:val="057E12A3"/>
    <w:rsid w:val="05A351AD"/>
    <w:rsid w:val="05A54454"/>
    <w:rsid w:val="05AA5F48"/>
    <w:rsid w:val="05B47929"/>
    <w:rsid w:val="05D16848"/>
    <w:rsid w:val="05D928C1"/>
    <w:rsid w:val="05E06973"/>
    <w:rsid w:val="05E61E57"/>
    <w:rsid w:val="05E93FA0"/>
    <w:rsid w:val="05ED2D90"/>
    <w:rsid w:val="060D2CF0"/>
    <w:rsid w:val="06255A88"/>
    <w:rsid w:val="063A78C0"/>
    <w:rsid w:val="06442CF0"/>
    <w:rsid w:val="066421C7"/>
    <w:rsid w:val="066606B5"/>
    <w:rsid w:val="06740A77"/>
    <w:rsid w:val="067A412C"/>
    <w:rsid w:val="06AB60C8"/>
    <w:rsid w:val="06C74530"/>
    <w:rsid w:val="06D2239F"/>
    <w:rsid w:val="06DE46EF"/>
    <w:rsid w:val="06EC2EC8"/>
    <w:rsid w:val="06EC66E0"/>
    <w:rsid w:val="07007F1F"/>
    <w:rsid w:val="0736405C"/>
    <w:rsid w:val="07392DC9"/>
    <w:rsid w:val="075B5D40"/>
    <w:rsid w:val="07671ACA"/>
    <w:rsid w:val="077946F5"/>
    <w:rsid w:val="07895CF9"/>
    <w:rsid w:val="078D1C71"/>
    <w:rsid w:val="079C2B58"/>
    <w:rsid w:val="07A1396F"/>
    <w:rsid w:val="07A5405A"/>
    <w:rsid w:val="07B2792A"/>
    <w:rsid w:val="07E35D35"/>
    <w:rsid w:val="07F27D26"/>
    <w:rsid w:val="07FB4797"/>
    <w:rsid w:val="0807796D"/>
    <w:rsid w:val="08276881"/>
    <w:rsid w:val="083E3A16"/>
    <w:rsid w:val="084F6F27"/>
    <w:rsid w:val="0878105A"/>
    <w:rsid w:val="08AC24CE"/>
    <w:rsid w:val="08CF38F6"/>
    <w:rsid w:val="08D05A3C"/>
    <w:rsid w:val="08D215AD"/>
    <w:rsid w:val="08D631A4"/>
    <w:rsid w:val="08DC7725"/>
    <w:rsid w:val="08E6788B"/>
    <w:rsid w:val="08F90033"/>
    <w:rsid w:val="08FC613C"/>
    <w:rsid w:val="09145957"/>
    <w:rsid w:val="092218A5"/>
    <w:rsid w:val="095D5673"/>
    <w:rsid w:val="097D1D14"/>
    <w:rsid w:val="098E3A7F"/>
    <w:rsid w:val="09972933"/>
    <w:rsid w:val="099866AB"/>
    <w:rsid w:val="09D75426"/>
    <w:rsid w:val="09ED3831"/>
    <w:rsid w:val="09F735E9"/>
    <w:rsid w:val="09FC1EBE"/>
    <w:rsid w:val="0A043E59"/>
    <w:rsid w:val="0A0A1357"/>
    <w:rsid w:val="0A1B7A08"/>
    <w:rsid w:val="0A216BB3"/>
    <w:rsid w:val="0A3356C5"/>
    <w:rsid w:val="0A430D0D"/>
    <w:rsid w:val="0A5F652B"/>
    <w:rsid w:val="0A6F6C6F"/>
    <w:rsid w:val="0A8E46A9"/>
    <w:rsid w:val="0ADA3095"/>
    <w:rsid w:val="0AEB5059"/>
    <w:rsid w:val="0AEC23E7"/>
    <w:rsid w:val="0B016BFE"/>
    <w:rsid w:val="0B071764"/>
    <w:rsid w:val="0B1B1342"/>
    <w:rsid w:val="0B1D330C"/>
    <w:rsid w:val="0B2E3C3F"/>
    <w:rsid w:val="0B3B4F9C"/>
    <w:rsid w:val="0B4E1717"/>
    <w:rsid w:val="0B7C0579"/>
    <w:rsid w:val="0B8D04FF"/>
    <w:rsid w:val="0B955598"/>
    <w:rsid w:val="0BAB6B6A"/>
    <w:rsid w:val="0BD240F7"/>
    <w:rsid w:val="0BF41E93"/>
    <w:rsid w:val="0C122745"/>
    <w:rsid w:val="0C142961"/>
    <w:rsid w:val="0C27068D"/>
    <w:rsid w:val="0C2C7CAB"/>
    <w:rsid w:val="0C3B2DC7"/>
    <w:rsid w:val="0C550884"/>
    <w:rsid w:val="0C5606DE"/>
    <w:rsid w:val="0C775739"/>
    <w:rsid w:val="0C9B3738"/>
    <w:rsid w:val="0C9C48D9"/>
    <w:rsid w:val="0CA60ED7"/>
    <w:rsid w:val="0CBD0CC7"/>
    <w:rsid w:val="0CCD5339"/>
    <w:rsid w:val="0CE265BB"/>
    <w:rsid w:val="0CF602B9"/>
    <w:rsid w:val="0D224C0A"/>
    <w:rsid w:val="0D3659B2"/>
    <w:rsid w:val="0D5926F8"/>
    <w:rsid w:val="0D857E92"/>
    <w:rsid w:val="0DA6583B"/>
    <w:rsid w:val="0DB333E3"/>
    <w:rsid w:val="0DC42165"/>
    <w:rsid w:val="0DC65EDD"/>
    <w:rsid w:val="0DE85E53"/>
    <w:rsid w:val="0E1A32FE"/>
    <w:rsid w:val="0E230F94"/>
    <w:rsid w:val="0E255AF1"/>
    <w:rsid w:val="0E2F3620"/>
    <w:rsid w:val="0E4311B9"/>
    <w:rsid w:val="0E442E98"/>
    <w:rsid w:val="0E742B15"/>
    <w:rsid w:val="0E9C09EC"/>
    <w:rsid w:val="0EAE5EBE"/>
    <w:rsid w:val="0EB6385C"/>
    <w:rsid w:val="0ED10695"/>
    <w:rsid w:val="0ED939EE"/>
    <w:rsid w:val="0EDB014E"/>
    <w:rsid w:val="0EDB116E"/>
    <w:rsid w:val="0FC63F72"/>
    <w:rsid w:val="0FC85F3C"/>
    <w:rsid w:val="1005012B"/>
    <w:rsid w:val="100D394F"/>
    <w:rsid w:val="10106420"/>
    <w:rsid w:val="10150A56"/>
    <w:rsid w:val="10354C54"/>
    <w:rsid w:val="104E7720"/>
    <w:rsid w:val="10660ED0"/>
    <w:rsid w:val="10734907"/>
    <w:rsid w:val="10817E99"/>
    <w:rsid w:val="108C6F6A"/>
    <w:rsid w:val="109401F4"/>
    <w:rsid w:val="10993435"/>
    <w:rsid w:val="109C58B0"/>
    <w:rsid w:val="10AD6EE0"/>
    <w:rsid w:val="10C21B83"/>
    <w:rsid w:val="10C56AD7"/>
    <w:rsid w:val="10D428C9"/>
    <w:rsid w:val="10DC4E7C"/>
    <w:rsid w:val="10E2302E"/>
    <w:rsid w:val="11015BCC"/>
    <w:rsid w:val="110F261A"/>
    <w:rsid w:val="11531836"/>
    <w:rsid w:val="115E04ED"/>
    <w:rsid w:val="11640D5B"/>
    <w:rsid w:val="116C29AD"/>
    <w:rsid w:val="117F262B"/>
    <w:rsid w:val="118714DF"/>
    <w:rsid w:val="119D0FC0"/>
    <w:rsid w:val="119E79D9"/>
    <w:rsid w:val="11A264BB"/>
    <w:rsid w:val="11A506DE"/>
    <w:rsid w:val="11B027BA"/>
    <w:rsid w:val="11B30526"/>
    <w:rsid w:val="11C3061B"/>
    <w:rsid w:val="11CC6392"/>
    <w:rsid w:val="11E61DB7"/>
    <w:rsid w:val="12065D1F"/>
    <w:rsid w:val="12072620"/>
    <w:rsid w:val="120C0F58"/>
    <w:rsid w:val="12163B3D"/>
    <w:rsid w:val="121A5F6A"/>
    <w:rsid w:val="1232769D"/>
    <w:rsid w:val="124473D0"/>
    <w:rsid w:val="126F465A"/>
    <w:rsid w:val="12716791"/>
    <w:rsid w:val="129812A0"/>
    <w:rsid w:val="12A62454"/>
    <w:rsid w:val="12AC1CCD"/>
    <w:rsid w:val="12BE7183"/>
    <w:rsid w:val="12CF6BDF"/>
    <w:rsid w:val="12EF778D"/>
    <w:rsid w:val="12F2507E"/>
    <w:rsid w:val="12FC32E0"/>
    <w:rsid w:val="13051003"/>
    <w:rsid w:val="130A23C8"/>
    <w:rsid w:val="130D66E4"/>
    <w:rsid w:val="132849DD"/>
    <w:rsid w:val="133665ED"/>
    <w:rsid w:val="134415A5"/>
    <w:rsid w:val="136450E5"/>
    <w:rsid w:val="136F4921"/>
    <w:rsid w:val="136F7506"/>
    <w:rsid w:val="13710699"/>
    <w:rsid w:val="13B33BB8"/>
    <w:rsid w:val="13C605F7"/>
    <w:rsid w:val="13CE2FB7"/>
    <w:rsid w:val="13F178AB"/>
    <w:rsid w:val="14207307"/>
    <w:rsid w:val="14215BE8"/>
    <w:rsid w:val="14215C1B"/>
    <w:rsid w:val="1425602A"/>
    <w:rsid w:val="1426502D"/>
    <w:rsid w:val="142F3EDE"/>
    <w:rsid w:val="142F4C17"/>
    <w:rsid w:val="14375B52"/>
    <w:rsid w:val="144E7653"/>
    <w:rsid w:val="14551D69"/>
    <w:rsid w:val="14723D57"/>
    <w:rsid w:val="14D94748"/>
    <w:rsid w:val="14DC367B"/>
    <w:rsid w:val="14EE3F57"/>
    <w:rsid w:val="14FB253E"/>
    <w:rsid w:val="15025FC0"/>
    <w:rsid w:val="151E1B00"/>
    <w:rsid w:val="15204125"/>
    <w:rsid w:val="1523526E"/>
    <w:rsid w:val="152C6320"/>
    <w:rsid w:val="152F3C74"/>
    <w:rsid w:val="153B0542"/>
    <w:rsid w:val="153C6A85"/>
    <w:rsid w:val="156758B0"/>
    <w:rsid w:val="1568787A"/>
    <w:rsid w:val="157A533C"/>
    <w:rsid w:val="158D108E"/>
    <w:rsid w:val="15A37327"/>
    <w:rsid w:val="15B71DCB"/>
    <w:rsid w:val="15B75BB0"/>
    <w:rsid w:val="15CB300D"/>
    <w:rsid w:val="15E56DEC"/>
    <w:rsid w:val="15E909BB"/>
    <w:rsid w:val="15EE4223"/>
    <w:rsid w:val="15F15AC1"/>
    <w:rsid w:val="15F24D42"/>
    <w:rsid w:val="15FF3D3A"/>
    <w:rsid w:val="160937D7"/>
    <w:rsid w:val="1626232B"/>
    <w:rsid w:val="162B5D51"/>
    <w:rsid w:val="16460E1F"/>
    <w:rsid w:val="168E1562"/>
    <w:rsid w:val="169D71E8"/>
    <w:rsid w:val="16A12BB2"/>
    <w:rsid w:val="16C4491E"/>
    <w:rsid w:val="16D52119"/>
    <w:rsid w:val="16D74CB7"/>
    <w:rsid w:val="16EA1425"/>
    <w:rsid w:val="170535D2"/>
    <w:rsid w:val="17081314"/>
    <w:rsid w:val="170A21FA"/>
    <w:rsid w:val="173D7210"/>
    <w:rsid w:val="17B37D34"/>
    <w:rsid w:val="17EF6030"/>
    <w:rsid w:val="17FA6D4D"/>
    <w:rsid w:val="180738E5"/>
    <w:rsid w:val="180841A7"/>
    <w:rsid w:val="18201466"/>
    <w:rsid w:val="183D4FEE"/>
    <w:rsid w:val="1852245C"/>
    <w:rsid w:val="185A32DE"/>
    <w:rsid w:val="186D1F1D"/>
    <w:rsid w:val="186E24E1"/>
    <w:rsid w:val="18726B29"/>
    <w:rsid w:val="187F58AF"/>
    <w:rsid w:val="18864849"/>
    <w:rsid w:val="18954BAA"/>
    <w:rsid w:val="18AD4540"/>
    <w:rsid w:val="18B708FC"/>
    <w:rsid w:val="18BB7CEF"/>
    <w:rsid w:val="18CC77BD"/>
    <w:rsid w:val="18CF4FBD"/>
    <w:rsid w:val="18D205AB"/>
    <w:rsid w:val="18E34330"/>
    <w:rsid w:val="18E5190D"/>
    <w:rsid w:val="190067B6"/>
    <w:rsid w:val="19081158"/>
    <w:rsid w:val="191D2361"/>
    <w:rsid w:val="191F46F3"/>
    <w:rsid w:val="192E3416"/>
    <w:rsid w:val="19322678"/>
    <w:rsid w:val="1958376A"/>
    <w:rsid w:val="197B1F90"/>
    <w:rsid w:val="198D78AF"/>
    <w:rsid w:val="1992649B"/>
    <w:rsid w:val="199944A6"/>
    <w:rsid w:val="19AC142A"/>
    <w:rsid w:val="19D11E13"/>
    <w:rsid w:val="1A1E49AB"/>
    <w:rsid w:val="1A365187"/>
    <w:rsid w:val="1A5364B5"/>
    <w:rsid w:val="1A930EF5"/>
    <w:rsid w:val="1ACD2659"/>
    <w:rsid w:val="1AE17EB2"/>
    <w:rsid w:val="1AFB5372"/>
    <w:rsid w:val="1B0D0CA7"/>
    <w:rsid w:val="1B177D78"/>
    <w:rsid w:val="1B245F4B"/>
    <w:rsid w:val="1B2476E2"/>
    <w:rsid w:val="1B257DC1"/>
    <w:rsid w:val="1B302BE8"/>
    <w:rsid w:val="1B375E27"/>
    <w:rsid w:val="1B3853CA"/>
    <w:rsid w:val="1B3977EC"/>
    <w:rsid w:val="1B4310CA"/>
    <w:rsid w:val="1B48577A"/>
    <w:rsid w:val="1B5E1503"/>
    <w:rsid w:val="1B665052"/>
    <w:rsid w:val="1B680196"/>
    <w:rsid w:val="1B8A679C"/>
    <w:rsid w:val="1B9F5C4B"/>
    <w:rsid w:val="1BBB6988"/>
    <w:rsid w:val="1BD6546E"/>
    <w:rsid w:val="1BF53514"/>
    <w:rsid w:val="1C037E84"/>
    <w:rsid w:val="1C1C325F"/>
    <w:rsid w:val="1C7865F4"/>
    <w:rsid w:val="1C8E5EAC"/>
    <w:rsid w:val="1C975F83"/>
    <w:rsid w:val="1CAB4C1C"/>
    <w:rsid w:val="1CBE732C"/>
    <w:rsid w:val="1CCE26B8"/>
    <w:rsid w:val="1CCF37FB"/>
    <w:rsid w:val="1CE65A14"/>
    <w:rsid w:val="1CE81A14"/>
    <w:rsid w:val="1CEE68B6"/>
    <w:rsid w:val="1CF42338"/>
    <w:rsid w:val="1CFC0FD3"/>
    <w:rsid w:val="1D0936F0"/>
    <w:rsid w:val="1D102CD1"/>
    <w:rsid w:val="1D5F4368"/>
    <w:rsid w:val="1D615C7E"/>
    <w:rsid w:val="1D6923E1"/>
    <w:rsid w:val="1D8F3784"/>
    <w:rsid w:val="1D920A05"/>
    <w:rsid w:val="1DC67833"/>
    <w:rsid w:val="1DD8345D"/>
    <w:rsid w:val="1DE008F5"/>
    <w:rsid w:val="1DEF6752"/>
    <w:rsid w:val="1DFE6FCD"/>
    <w:rsid w:val="1E1A0873"/>
    <w:rsid w:val="1E311151"/>
    <w:rsid w:val="1E4476CD"/>
    <w:rsid w:val="1E472722"/>
    <w:rsid w:val="1E593087"/>
    <w:rsid w:val="1E5F67A8"/>
    <w:rsid w:val="1E886E04"/>
    <w:rsid w:val="1E936F05"/>
    <w:rsid w:val="1E9A4F48"/>
    <w:rsid w:val="1EBC07C6"/>
    <w:rsid w:val="1ED078E2"/>
    <w:rsid w:val="1EDA2483"/>
    <w:rsid w:val="1EE00481"/>
    <w:rsid w:val="1F055F48"/>
    <w:rsid w:val="1F066139"/>
    <w:rsid w:val="1F18577C"/>
    <w:rsid w:val="1F207BA5"/>
    <w:rsid w:val="1F226CEB"/>
    <w:rsid w:val="1F3D58D3"/>
    <w:rsid w:val="1F3F5AEF"/>
    <w:rsid w:val="1F5275D0"/>
    <w:rsid w:val="1F5B716E"/>
    <w:rsid w:val="1F6157FE"/>
    <w:rsid w:val="1F616478"/>
    <w:rsid w:val="1F6901CA"/>
    <w:rsid w:val="1F6A28DC"/>
    <w:rsid w:val="1F6E1F30"/>
    <w:rsid w:val="1F9124B8"/>
    <w:rsid w:val="1FB0422C"/>
    <w:rsid w:val="1FC6473A"/>
    <w:rsid w:val="1FCA1E84"/>
    <w:rsid w:val="1FDA12BF"/>
    <w:rsid w:val="1FF26F6A"/>
    <w:rsid w:val="1FF70178"/>
    <w:rsid w:val="204004F3"/>
    <w:rsid w:val="20416F4E"/>
    <w:rsid w:val="207B2A0D"/>
    <w:rsid w:val="20836801"/>
    <w:rsid w:val="20913FE3"/>
    <w:rsid w:val="20924822"/>
    <w:rsid w:val="20B0408E"/>
    <w:rsid w:val="20FA3543"/>
    <w:rsid w:val="210B3804"/>
    <w:rsid w:val="21221225"/>
    <w:rsid w:val="21537630"/>
    <w:rsid w:val="21894E00"/>
    <w:rsid w:val="21B84917"/>
    <w:rsid w:val="21BF4048"/>
    <w:rsid w:val="21C83B7A"/>
    <w:rsid w:val="220402FD"/>
    <w:rsid w:val="220D32FF"/>
    <w:rsid w:val="223A69DB"/>
    <w:rsid w:val="22456F79"/>
    <w:rsid w:val="2249746C"/>
    <w:rsid w:val="226D4882"/>
    <w:rsid w:val="2274264E"/>
    <w:rsid w:val="227A67E1"/>
    <w:rsid w:val="228F28EA"/>
    <w:rsid w:val="229127BC"/>
    <w:rsid w:val="23515DF1"/>
    <w:rsid w:val="23664A1C"/>
    <w:rsid w:val="237D0994"/>
    <w:rsid w:val="23933BAC"/>
    <w:rsid w:val="23BF500B"/>
    <w:rsid w:val="23C46526"/>
    <w:rsid w:val="23E7193F"/>
    <w:rsid w:val="241E2177"/>
    <w:rsid w:val="2420245A"/>
    <w:rsid w:val="243D601C"/>
    <w:rsid w:val="244435F3"/>
    <w:rsid w:val="2462573A"/>
    <w:rsid w:val="24660AF6"/>
    <w:rsid w:val="24704055"/>
    <w:rsid w:val="248358A5"/>
    <w:rsid w:val="249561DE"/>
    <w:rsid w:val="249F18CD"/>
    <w:rsid w:val="24A7216D"/>
    <w:rsid w:val="24B83CB6"/>
    <w:rsid w:val="24C15BEF"/>
    <w:rsid w:val="24DE7389"/>
    <w:rsid w:val="24E0567E"/>
    <w:rsid w:val="24E60986"/>
    <w:rsid w:val="24F53213"/>
    <w:rsid w:val="250724F1"/>
    <w:rsid w:val="25224168"/>
    <w:rsid w:val="2524089C"/>
    <w:rsid w:val="25253AE8"/>
    <w:rsid w:val="255B4D05"/>
    <w:rsid w:val="25616BF7"/>
    <w:rsid w:val="2578741D"/>
    <w:rsid w:val="257D2ECD"/>
    <w:rsid w:val="25B14925"/>
    <w:rsid w:val="25EA4A44"/>
    <w:rsid w:val="260F3FE7"/>
    <w:rsid w:val="26103D41"/>
    <w:rsid w:val="26125B88"/>
    <w:rsid w:val="261E7C99"/>
    <w:rsid w:val="2626115F"/>
    <w:rsid w:val="262B46D7"/>
    <w:rsid w:val="2630272B"/>
    <w:rsid w:val="26417192"/>
    <w:rsid w:val="264659B5"/>
    <w:rsid w:val="264E120C"/>
    <w:rsid w:val="2670658E"/>
    <w:rsid w:val="26735434"/>
    <w:rsid w:val="267970F1"/>
    <w:rsid w:val="267C0840"/>
    <w:rsid w:val="26983979"/>
    <w:rsid w:val="26B17987"/>
    <w:rsid w:val="26CF1507"/>
    <w:rsid w:val="26E2748C"/>
    <w:rsid w:val="26E4075D"/>
    <w:rsid w:val="27100384"/>
    <w:rsid w:val="27142715"/>
    <w:rsid w:val="27160EE4"/>
    <w:rsid w:val="2725381D"/>
    <w:rsid w:val="27283097"/>
    <w:rsid w:val="27301857"/>
    <w:rsid w:val="273F48DE"/>
    <w:rsid w:val="274A3283"/>
    <w:rsid w:val="274C0B97"/>
    <w:rsid w:val="275163C0"/>
    <w:rsid w:val="276145F5"/>
    <w:rsid w:val="27637EA1"/>
    <w:rsid w:val="279B3ADF"/>
    <w:rsid w:val="27BF77CD"/>
    <w:rsid w:val="27C13545"/>
    <w:rsid w:val="27C80D09"/>
    <w:rsid w:val="27C9064C"/>
    <w:rsid w:val="27D108D5"/>
    <w:rsid w:val="27DB5705"/>
    <w:rsid w:val="27E34F35"/>
    <w:rsid w:val="27F57A24"/>
    <w:rsid w:val="280B08AD"/>
    <w:rsid w:val="2815723E"/>
    <w:rsid w:val="281E1D65"/>
    <w:rsid w:val="286345FC"/>
    <w:rsid w:val="2870424B"/>
    <w:rsid w:val="28814362"/>
    <w:rsid w:val="28871FE9"/>
    <w:rsid w:val="288B76AF"/>
    <w:rsid w:val="28B01215"/>
    <w:rsid w:val="28B4199C"/>
    <w:rsid w:val="28E174C5"/>
    <w:rsid w:val="28EA2628"/>
    <w:rsid w:val="28F0464A"/>
    <w:rsid w:val="28FD0187"/>
    <w:rsid w:val="290F3082"/>
    <w:rsid w:val="291458F7"/>
    <w:rsid w:val="291F7550"/>
    <w:rsid w:val="293C7C1C"/>
    <w:rsid w:val="294B071F"/>
    <w:rsid w:val="296A5F92"/>
    <w:rsid w:val="29830EFA"/>
    <w:rsid w:val="29A4341E"/>
    <w:rsid w:val="29A529F3"/>
    <w:rsid w:val="29BC19F9"/>
    <w:rsid w:val="29BD3F19"/>
    <w:rsid w:val="29BF5862"/>
    <w:rsid w:val="29C0782D"/>
    <w:rsid w:val="29F8727E"/>
    <w:rsid w:val="29FF5AC2"/>
    <w:rsid w:val="2A1628BF"/>
    <w:rsid w:val="2A241B69"/>
    <w:rsid w:val="2A300A37"/>
    <w:rsid w:val="2A473AAA"/>
    <w:rsid w:val="2A5702ED"/>
    <w:rsid w:val="2A58320D"/>
    <w:rsid w:val="2A5D0EE9"/>
    <w:rsid w:val="2A683FD1"/>
    <w:rsid w:val="2A790107"/>
    <w:rsid w:val="2A822C2E"/>
    <w:rsid w:val="2A8B5941"/>
    <w:rsid w:val="2A8D0CD0"/>
    <w:rsid w:val="2AA35184"/>
    <w:rsid w:val="2B036A4B"/>
    <w:rsid w:val="2B0943C1"/>
    <w:rsid w:val="2B1B2F6C"/>
    <w:rsid w:val="2B20072F"/>
    <w:rsid w:val="2B314DBC"/>
    <w:rsid w:val="2B381D70"/>
    <w:rsid w:val="2B7B1C5D"/>
    <w:rsid w:val="2B8B5B54"/>
    <w:rsid w:val="2BA341AC"/>
    <w:rsid w:val="2BB944B7"/>
    <w:rsid w:val="2C117A1C"/>
    <w:rsid w:val="2C1F6A8C"/>
    <w:rsid w:val="2C2422F5"/>
    <w:rsid w:val="2C4472B1"/>
    <w:rsid w:val="2C477D91"/>
    <w:rsid w:val="2C5242AB"/>
    <w:rsid w:val="2C9E534E"/>
    <w:rsid w:val="2C9F5E1F"/>
    <w:rsid w:val="2CA01A7D"/>
    <w:rsid w:val="2CB43FD0"/>
    <w:rsid w:val="2CD930DF"/>
    <w:rsid w:val="2CEC40B6"/>
    <w:rsid w:val="2CF718CC"/>
    <w:rsid w:val="2D380865"/>
    <w:rsid w:val="2D41076C"/>
    <w:rsid w:val="2D42103B"/>
    <w:rsid w:val="2D5247F3"/>
    <w:rsid w:val="2D7B23E8"/>
    <w:rsid w:val="2D881139"/>
    <w:rsid w:val="2DAD1E76"/>
    <w:rsid w:val="2DC378EB"/>
    <w:rsid w:val="2DC91769"/>
    <w:rsid w:val="2DCB368B"/>
    <w:rsid w:val="2DD65871"/>
    <w:rsid w:val="2DFB5A17"/>
    <w:rsid w:val="2DFD4010"/>
    <w:rsid w:val="2E060A6A"/>
    <w:rsid w:val="2E277ADC"/>
    <w:rsid w:val="2E537D8A"/>
    <w:rsid w:val="2E5F6B9A"/>
    <w:rsid w:val="2E647C32"/>
    <w:rsid w:val="2E753564"/>
    <w:rsid w:val="2E852BBE"/>
    <w:rsid w:val="2EAC496F"/>
    <w:rsid w:val="2EE04433"/>
    <w:rsid w:val="2EF266DA"/>
    <w:rsid w:val="2EF7784D"/>
    <w:rsid w:val="2F1321AD"/>
    <w:rsid w:val="2F135A84"/>
    <w:rsid w:val="2F1403FE"/>
    <w:rsid w:val="2F2B2ABE"/>
    <w:rsid w:val="2F397C20"/>
    <w:rsid w:val="2F3C5BA7"/>
    <w:rsid w:val="2F4607D4"/>
    <w:rsid w:val="2F4E3708"/>
    <w:rsid w:val="2F4E62C1"/>
    <w:rsid w:val="2F53284E"/>
    <w:rsid w:val="2F5B70A6"/>
    <w:rsid w:val="2F6D3FB3"/>
    <w:rsid w:val="2F72337D"/>
    <w:rsid w:val="2F740E9D"/>
    <w:rsid w:val="2F776BDF"/>
    <w:rsid w:val="2F927575"/>
    <w:rsid w:val="2FBC149F"/>
    <w:rsid w:val="2FC074E6"/>
    <w:rsid w:val="2FE2558D"/>
    <w:rsid w:val="2FE927F0"/>
    <w:rsid w:val="2FEA3ED2"/>
    <w:rsid w:val="302A5A00"/>
    <w:rsid w:val="302E62E3"/>
    <w:rsid w:val="303B19BB"/>
    <w:rsid w:val="303F6897"/>
    <w:rsid w:val="304545E8"/>
    <w:rsid w:val="30662EDC"/>
    <w:rsid w:val="306F78B6"/>
    <w:rsid w:val="3082649B"/>
    <w:rsid w:val="309537C1"/>
    <w:rsid w:val="309612E7"/>
    <w:rsid w:val="309A4933"/>
    <w:rsid w:val="30F304E8"/>
    <w:rsid w:val="30F70309"/>
    <w:rsid w:val="30FE1366"/>
    <w:rsid w:val="311566B0"/>
    <w:rsid w:val="31254DFA"/>
    <w:rsid w:val="31474D8B"/>
    <w:rsid w:val="315F2DE2"/>
    <w:rsid w:val="3164772D"/>
    <w:rsid w:val="3176024C"/>
    <w:rsid w:val="31764F04"/>
    <w:rsid w:val="31852813"/>
    <w:rsid w:val="318C20DA"/>
    <w:rsid w:val="31A12417"/>
    <w:rsid w:val="31A55FE0"/>
    <w:rsid w:val="31DE4CF4"/>
    <w:rsid w:val="31EC5663"/>
    <w:rsid w:val="31F61EC5"/>
    <w:rsid w:val="321C75CA"/>
    <w:rsid w:val="321E3342"/>
    <w:rsid w:val="32256D14"/>
    <w:rsid w:val="3226364F"/>
    <w:rsid w:val="3241225B"/>
    <w:rsid w:val="32600AB0"/>
    <w:rsid w:val="327F64D7"/>
    <w:rsid w:val="32852BB2"/>
    <w:rsid w:val="32AC616B"/>
    <w:rsid w:val="32AE2918"/>
    <w:rsid w:val="32B0784A"/>
    <w:rsid w:val="32B6636B"/>
    <w:rsid w:val="32C91500"/>
    <w:rsid w:val="32CB171C"/>
    <w:rsid w:val="32E26A66"/>
    <w:rsid w:val="32FF4D5F"/>
    <w:rsid w:val="33117C51"/>
    <w:rsid w:val="33220146"/>
    <w:rsid w:val="33464251"/>
    <w:rsid w:val="335D1914"/>
    <w:rsid w:val="335F38EC"/>
    <w:rsid w:val="337A6C9E"/>
    <w:rsid w:val="33895105"/>
    <w:rsid w:val="339715FE"/>
    <w:rsid w:val="33A443CF"/>
    <w:rsid w:val="33AE06F6"/>
    <w:rsid w:val="33B0446E"/>
    <w:rsid w:val="33DA14EB"/>
    <w:rsid w:val="33E34B07"/>
    <w:rsid w:val="33EC5EA2"/>
    <w:rsid w:val="33FB6A84"/>
    <w:rsid w:val="341F39D2"/>
    <w:rsid w:val="342520BC"/>
    <w:rsid w:val="34303467"/>
    <w:rsid w:val="347C6503"/>
    <w:rsid w:val="34836EA3"/>
    <w:rsid w:val="348979BE"/>
    <w:rsid w:val="348E2A01"/>
    <w:rsid w:val="348E47AF"/>
    <w:rsid w:val="349A13A6"/>
    <w:rsid w:val="34A23E93"/>
    <w:rsid w:val="34B7330C"/>
    <w:rsid w:val="34C446EB"/>
    <w:rsid w:val="34D22A9A"/>
    <w:rsid w:val="34D25111"/>
    <w:rsid w:val="34EC6639"/>
    <w:rsid w:val="34FD36E3"/>
    <w:rsid w:val="350D022E"/>
    <w:rsid w:val="350F464A"/>
    <w:rsid w:val="35272028"/>
    <w:rsid w:val="353F0863"/>
    <w:rsid w:val="3542559A"/>
    <w:rsid w:val="354B524C"/>
    <w:rsid w:val="3566572C"/>
    <w:rsid w:val="356F7390"/>
    <w:rsid w:val="35845BB2"/>
    <w:rsid w:val="35917C0B"/>
    <w:rsid w:val="35A26038"/>
    <w:rsid w:val="35BB57AD"/>
    <w:rsid w:val="35CF32D1"/>
    <w:rsid w:val="35D421B7"/>
    <w:rsid w:val="35E825E5"/>
    <w:rsid w:val="35F72828"/>
    <w:rsid w:val="360D3DFA"/>
    <w:rsid w:val="36322408"/>
    <w:rsid w:val="3633523C"/>
    <w:rsid w:val="36356C97"/>
    <w:rsid w:val="365657A0"/>
    <w:rsid w:val="36A65572"/>
    <w:rsid w:val="36AD498D"/>
    <w:rsid w:val="36AF712E"/>
    <w:rsid w:val="36E56BE5"/>
    <w:rsid w:val="36FA25D0"/>
    <w:rsid w:val="37244B36"/>
    <w:rsid w:val="372A4537"/>
    <w:rsid w:val="374455F9"/>
    <w:rsid w:val="37453999"/>
    <w:rsid w:val="3762783C"/>
    <w:rsid w:val="37831245"/>
    <w:rsid w:val="379A16BD"/>
    <w:rsid w:val="379C2FCB"/>
    <w:rsid w:val="37A65F95"/>
    <w:rsid w:val="37A70CCC"/>
    <w:rsid w:val="37C14E9C"/>
    <w:rsid w:val="37D045BF"/>
    <w:rsid w:val="37ED5C91"/>
    <w:rsid w:val="37F012DD"/>
    <w:rsid w:val="37F7266B"/>
    <w:rsid w:val="37FD13DD"/>
    <w:rsid w:val="38043F59"/>
    <w:rsid w:val="382F2EDF"/>
    <w:rsid w:val="383340DB"/>
    <w:rsid w:val="384A4E91"/>
    <w:rsid w:val="384D2BD3"/>
    <w:rsid w:val="387D5BBB"/>
    <w:rsid w:val="38966328"/>
    <w:rsid w:val="389B029A"/>
    <w:rsid w:val="38A04AB1"/>
    <w:rsid w:val="38BD5663"/>
    <w:rsid w:val="38C641BE"/>
    <w:rsid w:val="38D70618"/>
    <w:rsid w:val="39043641"/>
    <w:rsid w:val="391D4903"/>
    <w:rsid w:val="394248CB"/>
    <w:rsid w:val="39477622"/>
    <w:rsid w:val="395D0BF4"/>
    <w:rsid w:val="3962605C"/>
    <w:rsid w:val="39930B53"/>
    <w:rsid w:val="39B44102"/>
    <w:rsid w:val="39EE7A9E"/>
    <w:rsid w:val="3A16373A"/>
    <w:rsid w:val="3A5A5133"/>
    <w:rsid w:val="3A6B1515"/>
    <w:rsid w:val="3A8911F8"/>
    <w:rsid w:val="3A8B5881"/>
    <w:rsid w:val="3AA5172E"/>
    <w:rsid w:val="3AB40B45"/>
    <w:rsid w:val="3AC56036"/>
    <w:rsid w:val="3ACA71B5"/>
    <w:rsid w:val="3AE3337B"/>
    <w:rsid w:val="3B106ED1"/>
    <w:rsid w:val="3B136D3B"/>
    <w:rsid w:val="3B2A7371"/>
    <w:rsid w:val="3B4846E0"/>
    <w:rsid w:val="3B4F27BE"/>
    <w:rsid w:val="3B675D5A"/>
    <w:rsid w:val="3B693880"/>
    <w:rsid w:val="3B6B1403"/>
    <w:rsid w:val="3B7D6FA7"/>
    <w:rsid w:val="3B854432"/>
    <w:rsid w:val="3BCE07F5"/>
    <w:rsid w:val="3BEB6F45"/>
    <w:rsid w:val="3C052940"/>
    <w:rsid w:val="3C171D64"/>
    <w:rsid w:val="3C197B5F"/>
    <w:rsid w:val="3C572829"/>
    <w:rsid w:val="3C7324DC"/>
    <w:rsid w:val="3CEB0A61"/>
    <w:rsid w:val="3D000214"/>
    <w:rsid w:val="3D076BFE"/>
    <w:rsid w:val="3D51281E"/>
    <w:rsid w:val="3D64796E"/>
    <w:rsid w:val="3D6D7ECB"/>
    <w:rsid w:val="3D700F27"/>
    <w:rsid w:val="3D7F55DD"/>
    <w:rsid w:val="3D98669F"/>
    <w:rsid w:val="3DAA5DD4"/>
    <w:rsid w:val="3DB4423A"/>
    <w:rsid w:val="3DD10FC1"/>
    <w:rsid w:val="3DE47534"/>
    <w:rsid w:val="3DF53DC1"/>
    <w:rsid w:val="3DFA2393"/>
    <w:rsid w:val="3DFB09DB"/>
    <w:rsid w:val="3E0C61DF"/>
    <w:rsid w:val="3E0E070F"/>
    <w:rsid w:val="3E0E2317"/>
    <w:rsid w:val="3E170DE3"/>
    <w:rsid w:val="3E1B15DC"/>
    <w:rsid w:val="3E630A5B"/>
    <w:rsid w:val="3E642A25"/>
    <w:rsid w:val="3E86299B"/>
    <w:rsid w:val="3E8971C7"/>
    <w:rsid w:val="3E8F7C6E"/>
    <w:rsid w:val="3E9546AB"/>
    <w:rsid w:val="3EA80B63"/>
    <w:rsid w:val="3EC51EB1"/>
    <w:rsid w:val="3ED40905"/>
    <w:rsid w:val="3F0666C8"/>
    <w:rsid w:val="3F267114"/>
    <w:rsid w:val="3F2F6EBF"/>
    <w:rsid w:val="3F7B5B4C"/>
    <w:rsid w:val="3F870779"/>
    <w:rsid w:val="3FA86D64"/>
    <w:rsid w:val="3FBB69F6"/>
    <w:rsid w:val="3FC6535B"/>
    <w:rsid w:val="3FC731E3"/>
    <w:rsid w:val="3FDF6807"/>
    <w:rsid w:val="3FE65187"/>
    <w:rsid w:val="3FEA7156"/>
    <w:rsid w:val="3FEF7B09"/>
    <w:rsid w:val="403817F8"/>
    <w:rsid w:val="403D2262"/>
    <w:rsid w:val="40774C91"/>
    <w:rsid w:val="40905D53"/>
    <w:rsid w:val="409A0980"/>
    <w:rsid w:val="40A435AC"/>
    <w:rsid w:val="40A67324"/>
    <w:rsid w:val="40AE2280"/>
    <w:rsid w:val="40BF5E1D"/>
    <w:rsid w:val="40D12ACA"/>
    <w:rsid w:val="40D551E1"/>
    <w:rsid w:val="40E76475"/>
    <w:rsid w:val="410A340F"/>
    <w:rsid w:val="411C2716"/>
    <w:rsid w:val="412F0DC7"/>
    <w:rsid w:val="412F2E76"/>
    <w:rsid w:val="41410DFB"/>
    <w:rsid w:val="41493962"/>
    <w:rsid w:val="415540FF"/>
    <w:rsid w:val="41672723"/>
    <w:rsid w:val="416C3E2A"/>
    <w:rsid w:val="41737207"/>
    <w:rsid w:val="41850CE8"/>
    <w:rsid w:val="41A42436"/>
    <w:rsid w:val="41A62466"/>
    <w:rsid w:val="41B15F81"/>
    <w:rsid w:val="41B45A71"/>
    <w:rsid w:val="41C32E09"/>
    <w:rsid w:val="41C77552"/>
    <w:rsid w:val="41C9151C"/>
    <w:rsid w:val="41E64802"/>
    <w:rsid w:val="41FE6A9E"/>
    <w:rsid w:val="421F2EEA"/>
    <w:rsid w:val="42D27F5D"/>
    <w:rsid w:val="42D33CD5"/>
    <w:rsid w:val="42F26851"/>
    <w:rsid w:val="43120CA1"/>
    <w:rsid w:val="43144A19"/>
    <w:rsid w:val="432F3601"/>
    <w:rsid w:val="435661B0"/>
    <w:rsid w:val="43635059"/>
    <w:rsid w:val="436B1C9A"/>
    <w:rsid w:val="437361F5"/>
    <w:rsid w:val="43880F63"/>
    <w:rsid w:val="438F22F2"/>
    <w:rsid w:val="43C33D49"/>
    <w:rsid w:val="43C81360"/>
    <w:rsid w:val="43D158A1"/>
    <w:rsid w:val="43DC5789"/>
    <w:rsid w:val="43DF200D"/>
    <w:rsid w:val="43E0771B"/>
    <w:rsid w:val="43E53CC0"/>
    <w:rsid w:val="43F565F9"/>
    <w:rsid w:val="440026D2"/>
    <w:rsid w:val="44091DE6"/>
    <w:rsid w:val="4416305A"/>
    <w:rsid w:val="442E5667"/>
    <w:rsid w:val="44315157"/>
    <w:rsid w:val="44421112"/>
    <w:rsid w:val="4444212F"/>
    <w:rsid w:val="445A2900"/>
    <w:rsid w:val="446D59C9"/>
    <w:rsid w:val="448F00DB"/>
    <w:rsid w:val="449F4D9D"/>
    <w:rsid w:val="44AA4E36"/>
    <w:rsid w:val="44B10046"/>
    <w:rsid w:val="44BC61B9"/>
    <w:rsid w:val="44C47D79"/>
    <w:rsid w:val="44C73136"/>
    <w:rsid w:val="44E977E0"/>
    <w:rsid w:val="44FF39D8"/>
    <w:rsid w:val="4506607D"/>
    <w:rsid w:val="45120AE5"/>
    <w:rsid w:val="451E0CEF"/>
    <w:rsid w:val="45275543"/>
    <w:rsid w:val="452C448C"/>
    <w:rsid w:val="45310096"/>
    <w:rsid w:val="456D73CD"/>
    <w:rsid w:val="4570263D"/>
    <w:rsid w:val="457714AF"/>
    <w:rsid w:val="458F293E"/>
    <w:rsid w:val="4597548E"/>
    <w:rsid w:val="459A17A2"/>
    <w:rsid w:val="459B4964"/>
    <w:rsid w:val="45A66B7E"/>
    <w:rsid w:val="45A751EE"/>
    <w:rsid w:val="45A8769B"/>
    <w:rsid w:val="45BD5BE1"/>
    <w:rsid w:val="45CF4C28"/>
    <w:rsid w:val="45DB35CC"/>
    <w:rsid w:val="45E23B5A"/>
    <w:rsid w:val="45E24214"/>
    <w:rsid w:val="45E306D3"/>
    <w:rsid w:val="45EB5E6F"/>
    <w:rsid w:val="461C49EE"/>
    <w:rsid w:val="46274A64"/>
    <w:rsid w:val="46347593"/>
    <w:rsid w:val="464F7B16"/>
    <w:rsid w:val="46712183"/>
    <w:rsid w:val="46A6433F"/>
    <w:rsid w:val="46D824BD"/>
    <w:rsid w:val="471C20EE"/>
    <w:rsid w:val="472A4BAC"/>
    <w:rsid w:val="473F6FA7"/>
    <w:rsid w:val="47617B01"/>
    <w:rsid w:val="4779309D"/>
    <w:rsid w:val="477C78B8"/>
    <w:rsid w:val="47805554"/>
    <w:rsid w:val="47B95DF9"/>
    <w:rsid w:val="47C6636F"/>
    <w:rsid w:val="47D972DF"/>
    <w:rsid w:val="47DE602A"/>
    <w:rsid w:val="47F837F7"/>
    <w:rsid w:val="4812529F"/>
    <w:rsid w:val="48241F8F"/>
    <w:rsid w:val="48314E57"/>
    <w:rsid w:val="48360F8E"/>
    <w:rsid w:val="485D476D"/>
    <w:rsid w:val="48623B31"/>
    <w:rsid w:val="488123A7"/>
    <w:rsid w:val="48A00AFD"/>
    <w:rsid w:val="48C12F4D"/>
    <w:rsid w:val="48DB1B35"/>
    <w:rsid w:val="48E70771"/>
    <w:rsid w:val="49054711"/>
    <w:rsid w:val="49105379"/>
    <w:rsid w:val="49211C3E"/>
    <w:rsid w:val="49233CF4"/>
    <w:rsid w:val="492B14A4"/>
    <w:rsid w:val="493B1BF9"/>
    <w:rsid w:val="493E1D46"/>
    <w:rsid w:val="493F377B"/>
    <w:rsid w:val="49506CE4"/>
    <w:rsid w:val="496B2EB9"/>
    <w:rsid w:val="498A77E3"/>
    <w:rsid w:val="49AA1C33"/>
    <w:rsid w:val="49B06B1E"/>
    <w:rsid w:val="49BA799D"/>
    <w:rsid w:val="49BD01D3"/>
    <w:rsid w:val="49C54EF2"/>
    <w:rsid w:val="49D00F6E"/>
    <w:rsid w:val="49D46CB0"/>
    <w:rsid w:val="49FB6308"/>
    <w:rsid w:val="4A080708"/>
    <w:rsid w:val="4A1470AD"/>
    <w:rsid w:val="4A177D74"/>
    <w:rsid w:val="4A1C2628"/>
    <w:rsid w:val="4A1D2B68"/>
    <w:rsid w:val="4A2D016F"/>
    <w:rsid w:val="4A5D597B"/>
    <w:rsid w:val="4A7638C4"/>
    <w:rsid w:val="4AA333E0"/>
    <w:rsid w:val="4AA37061"/>
    <w:rsid w:val="4AA93C99"/>
    <w:rsid w:val="4AF31F03"/>
    <w:rsid w:val="4B007631"/>
    <w:rsid w:val="4B046389"/>
    <w:rsid w:val="4B1834B6"/>
    <w:rsid w:val="4B2257F9"/>
    <w:rsid w:val="4B2D5B1B"/>
    <w:rsid w:val="4B2E0F3D"/>
    <w:rsid w:val="4B337A07"/>
    <w:rsid w:val="4B3F37A8"/>
    <w:rsid w:val="4B481704"/>
    <w:rsid w:val="4B9257A3"/>
    <w:rsid w:val="4BA15B30"/>
    <w:rsid w:val="4BB1429F"/>
    <w:rsid w:val="4BB87F0C"/>
    <w:rsid w:val="4BC13264"/>
    <w:rsid w:val="4BCD39B7"/>
    <w:rsid w:val="4BCD71F4"/>
    <w:rsid w:val="4BCE772F"/>
    <w:rsid w:val="4BE45A77"/>
    <w:rsid w:val="4BE9687B"/>
    <w:rsid w:val="4BEF7DD1"/>
    <w:rsid w:val="4BF747BA"/>
    <w:rsid w:val="4BF94E5D"/>
    <w:rsid w:val="4BF95F90"/>
    <w:rsid w:val="4C03387D"/>
    <w:rsid w:val="4C0E29C1"/>
    <w:rsid w:val="4C123AC0"/>
    <w:rsid w:val="4C2E3A2C"/>
    <w:rsid w:val="4C3258BB"/>
    <w:rsid w:val="4C5008FD"/>
    <w:rsid w:val="4C786BA8"/>
    <w:rsid w:val="4C932747"/>
    <w:rsid w:val="4CA0731E"/>
    <w:rsid w:val="4CE26304"/>
    <w:rsid w:val="4D00493D"/>
    <w:rsid w:val="4D050CD7"/>
    <w:rsid w:val="4D0A29E9"/>
    <w:rsid w:val="4D0C1BB0"/>
    <w:rsid w:val="4D2E66D8"/>
    <w:rsid w:val="4D3A595B"/>
    <w:rsid w:val="4D404386"/>
    <w:rsid w:val="4D534390"/>
    <w:rsid w:val="4D760E69"/>
    <w:rsid w:val="4D896004"/>
    <w:rsid w:val="4D9A3D6D"/>
    <w:rsid w:val="4DA37AAE"/>
    <w:rsid w:val="4DA573A0"/>
    <w:rsid w:val="4DD4416D"/>
    <w:rsid w:val="4DFC2FC7"/>
    <w:rsid w:val="4E015B9A"/>
    <w:rsid w:val="4E4A5793"/>
    <w:rsid w:val="4E593C28"/>
    <w:rsid w:val="4E5C7274"/>
    <w:rsid w:val="4E6246C5"/>
    <w:rsid w:val="4E845F98"/>
    <w:rsid w:val="4EBD5F65"/>
    <w:rsid w:val="4ECD188D"/>
    <w:rsid w:val="4ED01C70"/>
    <w:rsid w:val="4ED67027"/>
    <w:rsid w:val="4EE57E01"/>
    <w:rsid w:val="4F02606E"/>
    <w:rsid w:val="4F2204BE"/>
    <w:rsid w:val="4F2944F1"/>
    <w:rsid w:val="4F2A7771"/>
    <w:rsid w:val="4F413C5B"/>
    <w:rsid w:val="4F583EE0"/>
    <w:rsid w:val="4F83543A"/>
    <w:rsid w:val="4F8627FB"/>
    <w:rsid w:val="4F8F1867"/>
    <w:rsid w:val="4F9C19A5"/>
    <w:rsid w:val="4FB21777"/>
    <w:rsid w:val="4FB629B4"/>
    <w:rsid w:val="4FBD67E2"/>
    <w:rsid w:val="4FD005D8"/>
    <w:rsid w:val="4FDD6193"/>
    <w:rsid w:val="50265D8C"/>
    <w:rsid w:val="502A587C"/>
    <w:rsid w:val="508B1B14"/>
    <w:rsid w:val="509B22D6"/>
    <w:rsid w:val="50A2578C"/>
    <w:rsid w:val="50A76ECD"/>
    <w:rsid w:val="50E023DF"/>
    <w:rsid w:val="50F87728"/>
    <w:rsid w:val="50FE0903"/>
    <w:rsid w:val="511126A2"/>
    <w:rsid w:val="511736F2"/>
    <w:rsid w:val="51205DB5"/>
    <w:rsid w:val="51205FAF"/>
    <w:rsid w:val="512A5408"/>
    <w:rsid w:val="51493AE0"/>
    <w:rsid w:val="51752B27"/>
    <w:rsid w:val="51794F57"/>
    <w:rsid w:val="51893E80"/>
    <w:rsid w:val="5198359A"/>
    <w:rsid w:val="51A52CE0"/>
    <w:rsid w:val="51B94BD5"/>
    <w:rsid w:val="51BA7767"/>
    <w:rsid w:val="51BE22CC"/>
    <w:rsid w:val="51F97437"/>
    <w:rsid w:val="51FF6894"/>
    <w:rsid w:val="5208399B"/>
    <w:rsid w:val="52107268"/>
    <w:rsid w:val="52203B5C"/>
    <w:rsid w:val="522400A9"/>
    <w:rsid w:val="522709F0"/>
    <w:rsid w:val="5265077A"/>
    <w:rsid w:val="529D7E1A"/>
    <w:rsid w:val="52A15601"/>
    <w:rsid w:val="52B23930"/>
    <w:rsid w:val="52BF47A8"/>
    <w:rsid w:val="52D941BD"/>
    <w:rsid w:val="52DA29C5"/>
    <w:rsid w:val="52DE64AA"/>
    <w:rsid w:val="52F43F1F"/>
    <w:rsid w:val="52F537F4"/>
    <w:rsid w:val="53163E96"/>
    <w:rsid w:val="532742F5"/>
    <w:rsid w:val="5327780F"/>
    <w:rsid w:val="537312E8"/>
    <w:rsid w:val="537A2677"/>
    <w:rsid w:val="53837051"/>
    <w:rsid w:val="53877CBD"/>
    <w:rsid w:val="53B71D7A"/>
    <w:rsid w:val="53C92487"/>
    <w:rsid w:val="53D47B6C"/>
    <w:rsid w:val="53E11650"/>
    <w:rsid w:val="53E775E0"/>
    <w:rsid w:val="53FB3A43"/>
    <w:rsid w:val="53FD758D"/>
    <w:rsid w:val="540676E8"/>
    <w:rsid w:val="54534C76"/>
    <w:rsid w:val="545F7ABE"/>
    <w:rsid w:val="548C69B1"/>
    <w:rsid w:val="549D01C5"/>
    <w:rsid w:val="54A148D9"/>
    <w:rsid w:val="54A445F5"/>
    <w:rsid w:val="54B637FF"/>
    <w:rsid w:val="54C32879"/>
    <w:rsid w:val="54EA5B2D"/>
    <w:rsid w:val="54F62441"/>
    <w:rsid w:val="550F3292"/>
    <w:rsid w:val="551A0368"/>
    <w:rsid w:val="552C3393"/>
    <w:rsid w:val="552D54C7"/>
    <w:rsid w:val="552E3CE2"/>
    <w:rsid w:val="5549554B"/>
    <w:rsid w:val="55505BA8"/>
    <w:rsid w:val="555313D1"/>
    <w:rsid w:val="557405D2"/>
    <w:rsid w:val="55987E27"/>
    <w:rsid w:val="55C73392"/>
    <w:rsid w:val="55E069DD"/>
    <w:rsid w:val="55E40C52"/>
    <w:rsid w:val="56106867"/>
    <w:rsid w:val="561D572E"/>
    <w:rsid w:val="562D62EF"/>
    <w:rsid w:val="563734E4"/>
    <w:rsid w:val="563F3703"/>
    <w:rsid w:val="564E3947"/>
    <w:rsid w:val="566E72BE"/>
    <w:rsid w:val="567A0BDF"/>
    <w:rsid w:val="56830AED"/>
    <w:rsid w:val="56884F14"/>
    <w:rsid w:val="569C1BD0"/>
    <w:rsid w:val="56A40723"/>
    <w:rsid w:val="56A91FD0"/>
    <w:rsid w:val="56AE57C6"/>
    <w:rsid w:val="56B23ED5"/>
    <w:rsid w:val="56BF77A3"/>
    <w:rsid w:val="56C26F55"/>
    <w:rsid w:val="56C41493"/>
    <w:rsid w:val="56C63E25"/>
    <w:rsid w:val="56D93FE2"/>
    <w:rsid w:val="56F55413"/>
    <w:rsid w:val="571406EC"/>
    <w:rsid w:val="5728063B"/>
    <w:rsid w:val="573207B1"/>
    <w:rsid w:val="575B6A87"/>
    <w:rsid w:val="575F5EE7"/>
    <w:rsid w:val="57694A5C"/>
    <w:rsid w:val="576C3FA8"/>
    <w:rsid w:val="57747482"/>
    <w:rsid w:val="5785783C"/>
    <w:rsid w:val="57A23F4A"/>
    <w:rsid w:val="57A74D3D"/>
    <w:rsid w:val="57AA1BE7"/>
    <w:rsid w:val="57C02622"/>
    <w:rsid w:val="57CA28D6"/>
    <w:rsid w:val="57CE311C"/>
    <w:rsid w:val="57D06A52"/>
    <w:rsid w:val="580B282C"/>
    <w:rsid w:val="58155C60"/>
    <w:rsid w:val="583F058A"/>
    <w:rsid w:val="584A5A97"/>
    <w:rsid w:val="585039A6"/>
    <w:rsid w:val="58704048"/>
    <w:rsid w:val="5886243F"/>
    <w:rsid w:val="588F4582"/>
    <w:rsid w:val="58C85C32"/>
    <w:rsid w:val="58D869D2"/>
    <w:rsid w:val="58E12895"/>
    <w:rsid w:val="59096985"/>
    <w:rsid w:val="593F3A1A"/>
    <w:rsid w:val="594B7029"/>
    <w:rsid w:val="5955323E"/>
    <w:rsid w:val="59907C63"/>
    <w:rsid w:val="59B30690"/>
    <w:rsid w:val="59D21C34"/>
    <w:rsid w:val="59D275CB"/>
    <w:rsid w:val="59DB1995"/>
    <w:rsid w:val="59E07364"/>
    <w:rsid w:val="59E64AA9"/>
    <w:rsid w:val="59EC3EFC"/>
    <w:rsid w:val="5A126174"/>
    <w:rsid w:val="5A1530F9"/>
    <w:rsid w:val="5A1E64AA"/>
    <w:rsid w:val="5A32392B"/>
    <w:rsid w:val="5A443BC9"/>
    <w:rsid w:val="5A702731"/>
    <w:rsid w:val="5A813F6F"/>
    <w:rsid w:val="5A881C02"/>
    <w:rsid w:val="5A9102A6"/>
    <w:rsid w:val="5ABF2981"/>
    <w:rsid w:val="5AC02181"/>
    <w:rsid w:val="5AC73DFD"/>
    <w:rsid w:val="5AE14D89"/>
    <w:rsid w:val="5AF251E8"/>
    <w:rsid w:val="5AF465C7"/>
    <w:rsid w:val="5B5C4D58"/>
    <w:rsid w:val="5B9163B2"/>
    <w:rsid w:val="5BAA7836"/>
    <w:rsid w:val="5BBB1A7E"/>
    <w:rsid w:val="5BC50226"/>
    <w:rsid w:val="5BFC56EB"/>
    <w:rsid w:val="5C01084E"/>
    <w:rsid w:val="5C0D42A1"/>
    <w:rsid w:val="5C1916A5"/>
    <w:rsid w:val="5C2C64D8"/>
    <w:rsid w:val="5C6A7000"/>
    <w:rsid w:val="5C6E742D"/>
    <w:rsid w:val="5C7C3D16"/>
    <w:rsid w:val="5C855626"/>
    <w:rsid w:val="5C966973"/>
    <w:rsid w:val="5C976E55"/>
    <w:rsid w:val="5CAC13C7"/>
    <w:rsid w:val="5CC51DEE"/>
    <w:rsid w:val="5CD56B55"/>
    <w:rsid w:val="5CDC6150"/>
    <w:rsid w:val="5CFD7E74"/>
    <w:rsid w:val="5D0B1BFC"/>
    <w:rsid w:val="5D1E6763"/>
    <w:rsid w:val="5D3F66DF"/>
    <w:rsid w:val="5D586AB3"/>
    <w:rsid w:val="5D662241"/>
    <w:rsid w:val="5D6926E4"/>
    <w:rsid w:val="5D7D61D4"/>
    <w:rsid w:val="5D7F339F"/>
    <w:rsid w:val="5D957D0C"/>
    <w:rsid w:val="5DB524FD"/>
    <w:rsid w:val="5DC7295C"/>
    <w:rsid w:val="5E3D443F"/>
    <w:rsid w:val="5E4135CD"/>
    <w:rsid w:val="5E491299"/>
    <w:rsid w:val="5E5363B4"/>
    <w:rsid w:val="5E617BB3"/>
    <w:rsid w:val="5E966EBF"/>
    <w:rsid w:val="5EA902B4"/>
    <w:rsid w:val="5EE517FF"/>
    <w:rsid w:val="5F020F72"/>
    <w:rsid w:val="5F034C6F"/>
    <w:rsid w:val="5F366C4F"/>
    <w:rsid w:val="5F466EFC"/>
    <w:rsid w:val="5F5024DD"/>
    <w:rsid w:val="5F63692F"/>
    <w:rsid w:val="5F6B1B65"/>
    <w:rsid w:val="5F745326"/>
    <w:rsid w:val="5F813F8A"/>
    <w:rsid w:val="5F9E76ED"/>
    <w:rsid w:val="5FB213EA"/>
    <w:rsid w:val="5FC86518"/>
    <w:rsid w:val="5FC92290"/>
    <w:rsid w:val="5FCD6E4C"/>
    <w:rsid w:val="5FDC0215"/>
    <w:rsid w:val="601C4AB5"/>
    <w:rsid w:val="60487659"/>
    <w:rsid w:val="605B5620"/>
    <w:rsid w:val="6087350A"/>
    <w:rsid w:val="60AA36E5"/>
    <w:rsid w:val="60B10A9B"/>
    <w:rsid w:val="60FD0443"/>
    <w:rsid w:val="611D2893"/>
    <w:rsid w:val="611F690B"/>
    <w:rsid w:val="612754C0"/>
    <w:rsid w:val="61291238"/>
    <w:rsid w:val="613167C1"/>
    <w:rsid w:val="61441077"/>
    <w:rsid w:val="61483DB4"/>
    <w:rsid w:val="614A3022"/>
    <w:rsid w:val="61754469"/>
    <w:rsid w:val="618F19E3"/>
    <w:rsid w:val="61977A06"/>
    <w:rsid w:val="61A66D2D"/>
    <w:rsid w:val="61BE0B5E"/>
    <w:rsid w:val="61C91735"/>
    <w:rsid w:val="61D360BA"/>
    <w:rsid w:val="62294051"/>
    <w:rsid w:val="6258405F"/>
    <w:rsid w:val="62612C54"/>
    <w:rsid w:val="626210EF"/>
    <w:rsid w:val="626F711E"/>
    <w:rsid w:val="62791D4B"/>
    <w:rsid w:val="627B5AC3"/>
    <w:rsid w:val="62971712"/>
    <w:rsid w:val="6299063F"/>
    <w:rsid w:val="62B93D5F"/>
    <w:rsid w:val="62BB36D4"/>
    <w:rsid w:val="62CF02DC"/>
    <w:rsid w:val="62CF061A"/>
    <w:rsid w:val="62DC06B8"/>
    <w:rsid w:val="62E93375"/>
    <w:rsid w:val="62E953D7"/>
    <w:rsid w:val="63001471"/>
    <w:rsid w:val="63063677"/>
    <w:rsid w:val="63293771"/>
    <w:rsid w:val="634E142A"/>
    <w:rsid w:val="635435EF"/>
    <w:rsid w:val="637D68D6"/>
    <w:rsid w:val="63827325"/>
    <w:rsid w:val="639222C2"/>
    <w:rsid w:val="6397692D"/>
    <w:rsid w:val="63C516AA"/>
    <w:rsid w:val="63CB4828"/>
    <w:rsid w:val="63D45C95"/>
    <w:rsid w:val="63D90444"/>
    <w:rsid w:val="63F41FD1"/>
    <w:rsid w:val="63F57AF7"/>
    <w:rsid w:val="63FC082E"/>
    <w:rsid w:val="63FF44D2"/>
    <w:rsid w:val="64025D70"/>
    <w:rsid w:val="642A232E"/>
    <w:rsid w:val="645E71E1"/>
    <w:rsid w:val="64613005"/>
    <w:rsid w:val="6469724A"/>
    <w:rsid w:val="6470717E"/>
    <w:rsid w:val="64A45FC5"/>
    <w:rsid w:val="64AF7CA6"/>
    <w:rsid w:val="64BE79CE"/>
    <w:rsid w:val="64DD0CB7"/>
    <w:rsid w:val="64DF4A2F"/>
    <w:rsid w:val="64F61979"/>
    <w:rsid w:val="65044496"/>
    <w:rsid w:val="651E2E89"/>
    <w:rsid w:val="65250A78"/>
    <w:rsid w:val="652A335A"/>
    <w:rsid w:val="653528A1"/>
    <w:rsid w:val="6545060B"/>
    <w:rsid w:val="655D371D"/>
    <w:rsid w:val="655F16CC"/>
    <w:rsid w:val="656071F2"/>
    <w:rsid w:val="656B0071"/>
    <w:rsid w:val="657B15BD"/>
    <w:rsid w:val="65A45331"/>
    <w:rsid w:val="65AE1230"/>
    <w:rsid w:val="65C47781"/>
    <w:rsid w:val="65CA39AA"/>
    <w:rsid w:val="65E242D5"/>
    <w:rsid w:val="66067D9A"/>
    <w:rsid w:val="661A0539"/>
    <w:rsid w:val="66232E95"/>
    <w:rsid w:val="66310C29"/>
    <w:rsid w:val="664D3E84"/>
    <w:rsid w:val="6663343E"/>
    <w:rsid w:val="66663797"/>
    <w:rsid w:val="66683C52"/>
    <w:rsid w:val="667B683E"/>
    <w:rsid w:val="667F14DB"/>
    <w:rsid w:val="668533B4"/>
    <w:rsid w:val="6695111E"/>
    <w:rsid w:val="66A72655"/>
    <w:rsid w:val="66BB6DD6"/>
    <w:rsid w:val="66D17D0C"/>
    <w:rsid w:val="66E2136F"/>
    <w:rsid w:val="66F978FF"/>
    <w:rsid w:val="670F7122"/>
    <w:rsid w:val="67164C14"/>
    <w:rsid w:val="671E1113"/>
    <w:rsid w:val="671E2B38"/>
    <w:rsid w:val="6720463D"/>
    <w:rsid w:val="67302F28"/>
    <w:rsid w:val="67334BBF"/>
    <w:rsid w:val="6745132B"/>
    <w:rsid w:val="67536AE3"/>
    <w:rsid w:val="6773145F"/>
    <w:rsid w:val="67746F85"/>
    <w:rsid w:val="677F1313"/>
    <w:rsid w:val="67B13D35"/>
    <w:rsid w:val="67B4474D"/>
    <w:rsid w:val="67B656E1"/>
    <w:rsid w:val="67C27CF0"/>
    <w:rsid w:val="67D115AC"/>
    <w:rsid w:val="67D60943"/>
    <w:rsid w:val="67E91E66"/>
    <w:rsid w:val="684E345F"/>
    <w:rsid w:val="68955405"/>
    <w:rsid w:val="689F4499"/>
    <w:rsid w:val="68AF296B"/>
    <w:rsid w:val="68C1304E"/>
    <w:rsid w:val="68CF0AC5"/>
    <w:rsid w:val="68DD01E3"/>
    <w:rsid w:val="68F42334"/>
    <w:rsid w:val="6933534A"/>
    <w:rsid w:val="69513A22"/>
    <w:rsid w:val="69526236"/>
    <w:rsid w:val="695E7E84"/>
    <w:rsid w:val="69676DA1"/>
    <w:rsid w:val="69750F1B"/>
    <w:rsid w:val="69831701"/>
    <w:rsid w:val="698E432E"/>
    <w:rsid w:val="699A1742"/>
    <w:rsid w:val="69BC4307"/>
    <w:rsid w:val="69D70D68"/>
    <w:rsid w:val="69E43803"/>
    <w:rsid w:val="69EA4CEE"/>
    <w:rsid w:val="69F037BD"/>
    <w:rsid w:val="6A06480C"/>
    <w:rsid w:val="6A0B0250"/>
    <w:rsid w:val="6A20252A"/>
    <w:rsid w:val="6A433EC8"/>
    <w:rsid w:val="6A4E3ABD"/>
    <w:rsid w:val="6A5135AE"/>
    <w:rsid w:val="6A570BC4"/>
    <w:rsid w:val="6A58493C"/>
    <w:rsid w:val="6A5B4AF1"/>
    <w:rsid w:val="6A5C61DA"/>
    <w:rsid w:val="6A6D6D7D"/>
    <w:rsid w:val="6A6F2C00"/>
    <w:rsid w:val="6A723C50"/>
    <w:rsid w:val="6AA71AD3"/>
    <w:rsid w:val="6B013226"/>
    <w:rsid w:val="6B0A7CDD"/>
    <w:rsid w:val="6B435028"/>
    <w:rsid w:val="6B501534"/>
    <w:rsid w:val="6B6A4927"/>
    <w:rsid w:val="6B96499B"/>
    <w:rsid w:val="6B9D0D65"/>
    <w:rsid w:val="6BB64010"/>
    <w:rsid w:val="6BB65DBE"/>
    <w:rsid w:val="6BB82A0C"/>
    <w:rsid w:val="6BC009EB"/>
    <w:rsid w:val="6BC60FE6"/>
    <w:rsid w:val="6BCC7390"/>
    <w:rsid w:val="6BF10A27"/>
    <w:rsid w:val="6C045086"/>
    <w:rsid w:val="6C107261"/>
    <w:rsid w:val="6C225202"/>
    <w:rsid w:val="6C320541"/>
    <w:rsid w:val="6C387550"/>
    <w:rsid w:val="6C467142"/>
    <w:rsid w:val="6C5E25FF"/>
    <w:rsid w:val="6C674B5D"/>
    <w:rsid w:val="6C8E6D3B"/>
    <w:rsid w:val="6CA36A1C"/>
    <w:rsid w:val="6CB036C1"/>
    <w:rsid w:val="6CB22A29"/>
    <w:rsid w:val="6CBD4F2A"/>
    <w:rsid w:val="6CC25CE0"/>
    <w:rsid w:val="6CDA5A16"/>
    <w:rsid w:val="6CDC3B28"/>
    <w:rsid w:val="6CDD4D14"/>
    <w:rsid w:val="6CF34041"/>
    <w:rsid w:val="6CF622E4"/>
    <w:rsid w:val="6D050DAB"/>
    <w:rsid w:val="6D0D7C60"/>
    <w:rsid w:val="6D3A645A"/>
    <w:rsid w:val="6D681248"/>
    <w:rsid w:val="6D6A3304"/>
    <w:rsid w:val="6D7E7FDF"/>
    <w:rsid w:val="6DA1222C"/>
    <w:rsid w:val="6DAA5F0A"/>
    <w:rsid w:val="6DB93296"/>
    <w:rsid w:val="6DBD4F33"/>
    <w:rsid w:val="6DD10452"/>
    <w:rsid w:val="6E0F17B6"/>
    <w:rsid w:val="6E404FBF"/>
    <w:rsid w:val="6E6265D7"/>
    <w:rsid w:val="6E6C6E8D"/>
    <w:rsid w:val="6E803F74"/>
    <w:rsid w:val="6E99310B"/>
    <w:rsid w:val="6EAB16C2"/>
    <w:rsid w:val="6EAF124A"/>
    <w:rsid w:val="6EB26D11"/>
    <w:rsid w:val="6EC801D0"/>
    <w:rsid w:val="6EDD18B4"/>
    <w:rsid w:val="6EDFFE57"/>
    <w:rsid w:val="6EF14A19"/>
    <w:rsid w:val="6F085736"/>
    <w:rsid w:val="6F1A48B6"/>
    <w:rsid w:val="6F374EF2"/>
    <w:rsid w:val="6F401B5A"/>
    <w:rsid w:val="6F7C4DDD"/>
    <w:rsid w:val="6F885CC3"/>
    <w:rsid w:val="6F913D15"/>
    <w:rsid w:val="6F9B1553"/>
    <w:rsid w:val="6F9C2E16"/>
    <w:rsid w:val="6FC46FA9"/>
    <w:rsid w:val="6FC67F29"/>
    <w:rsid w:val="6FCC2352"/>
    <w:rsid w:val="6FD11664"/>
    <w:rsid w:val="6FDD577E"/>
    <w:rsid w:val="6FE0340A"/>
    <w:rsid w:val="6FED3D79"/>
    <w:rsid w:val="700F1F41"/>
    <w:rsid w:val="702E67B9"/>
    <w:rsid w:val="7036127C"/>
    <w:rsid w:val="708446DD"/>
    <w:rsid w:val="70AE52B6"/>
    <w:rsid w:val="70D146FF"/>
    <w:rsid w:val="70D171F6"/>
    <w:rsid w:val="70E54F3B"/>
    <w:rsid w:val="70EB38D9"/>
    <w:rsid w:val="711C66C3"/>
    <w:rsid w:val="713F488B"/>
    <w:rsid w:val="71461992"/>
    <w:rsid w:val="715045BF"/>
    <w:rsid w:val="71632544"/>
    <w:rsid w:val="716B31A7"/>
    <w:rsid w:val="71781343"/>
    <w:rsid w:val="718C272C"/>
    <w:rsid w:val="71A05546"/>
    <w:rsid w:val="71A97C16"/>
    <w:rsid w:val="71B8286E"/>
    <w:rsid w:val="71CF59F3"/>
    <w:rsid w:val="71D25FE5"/>
    <w:rsid w:val="71D43238"/>
    <w:rsid w:val="7216031C"/>
    <w:rsid w:val="721A015C"/>
    <w:rsid w:val="721B2E1F"/>
    <w:rsid w:val="721B3607"/>
    <w:rsid w:val="7221423E"/>
    <w:rsid w:val="72354B94"/>
    <w:rsid w:val="723B701D"/>
    <w:rsid w:val="724759C2"/>
    <w:rsid w:val="726613A4"/>
    <w:rsid w:val="726F4F19"/>
    <w:rsid w:val="728C1627"/>
    <w:rsid w:val="72A050D2"/>
    <w:rsid w:val="72A27E05"/>
    <w:rsid w:val="72A93F87"/>
    <w:rsid w:val="72AD7197"/>
    <w:rsid w:val="73006E8D"/>
    <w:rsid w:val="73055315"/>
    <w:rsid w:val="731E721E"/>
    <w:rsid w:val="7332327A"/>
    <w:rsid w:val="73346840"/>
    <w:rsid w:val="734750B6"/>
    <w:rsid w:val="73504D4A"/>
    <w:rsid w:val="735F5E84"/>
    <w:rsid w:val="73827B0E"/>
    <w:rsid w:val="738844E4"/>
    <w:rsid w:val="73886EEC"/>
    <w:rsid w:val="73AD0A6F"/>
    <w:rsid w:val="73C80D84"/>
    <w:rsid w:val="73D2575F"/>
    <w:rsid w:val="73DB55DA"/>
    <w:rsid w:val="73E536E4"/>
    <w:rsid w:val="73ED5C53"/>
    <w:rsid w:val="73F13E37"/>
    <w:rsid w:val="7416243F"/>
    <w:rsid w:val="74190BDC"/>
    <w:rsid w:val="7419338E"/>
    <w:rsid w:val="74247931"/>
    <w:rsid w:val="744022AC"/>
    <w:rsid w:val="74575C64"/>
    <w:rsid w:val="74587B30"/>
    <w:rsid w:val="74650381"/>
    <w:rsid w:val="74836A59"/>
    <w:rsid w:val="74940C67"/>
    <w:rsid w:val="749C4B32"/>
    <w:rsid w:val="74A67FC1"/>
    <w:rsid w:val="74B351A8"/>
    <w:rsid w:val="74B66881"/>
    <w:rsid w:val="74BF3A5A"/>
    <w:rsid w:val="74C01A5C"/>
    <w:rsid w:val="74C7238F"/>
    <w:rsid w:val="74D86DA5"/>
    <w:rsid w:val="74F03ABE"/>
    <w:rsid w:val="75232716"/>
    <w:rsid w:val="75287E10"/>
    <w:rsid w:val="752921B6"/>
    <w:rsid w:val="752A6815"/>
    <w:rsid w:val="753E4024"/>
    <w:rsid w:val="75437B94"/>
    <w:rsid w:val="7549409D"/>
    <w:rsid w:val="75614FED"/>
    <w:rsid w:val="75A82947"/>
    <w:rsid w:val="75A91B22"/>
    <w:rsid w:val="75C8506C"/>
    <w:rsid w:val="75E911D4"/>
    <w:rsid w:val="761E4C8C"/>
    <w:rsid w:val="76320737"/>
    <w:rsid w:val="76326989"/>
    <w:rsid w:val="76650B0D"/>
    <w:rsid w:val="76740D50"/>
    <w:rsid w:val="76820CD9"/>
    <w:rsid w:val="76944474"/>
    <w:rsid w:val="76982C90"/>
    <w:rsid w:val="76A333E3"/>
    <w:rsid w:val="76B86E8E"/>
    <w:rsid w:val="76C84BF7"/>
    <w:rsid w:val="76D0133D"/>
    <w:rsid w:val="76DA00D8"/>
    <w:rsid w:val="76EC2D61"/>
    <w:rsid w:val="76ED6BA2"/>
    <w:rsid w:val="76F667DF"/>
    <w:rsid w:val="77383B2B"/>
    <w:rsid w:val="774150D6"/>
    <w:rsid w:val="77590257"/>
    <w:rsid w:val="775E5C88"/>
    <w:rsid w:val="777508AA"/>
    <w:rsid w:val="777D3C34"/>
    <w:rsid w:val="77980A6E"/>
    <w:rsid w:val="77A06F50"/>
    <w:rsid w:val="77B034B8"/>
    <w:rsid w:val="77B134E1"/>
    <w:rsid w:val="77C41687"/>
    <w:rsid w:val="77DE2667"/>
    <w:rsid w:val="77E703B8"/>
    <w:rsid w:val="77E85C31"/>
    <w:rsid w:val="77EF5687"/>
    <w:rsid w:val="77FB0F87"/>
    <w:rsid w:val="7800531E"/>
    <w:rsid w:val="780568E7"/>
    <w:rsid w:val="781C169F"/>
    <w:rsid w:val="78340E39"/>
    <w:rsid w:val="783D187A"/>
    <w:rsid w:val="78542BE7"/>
    <w:rsid w:val="785901FD"/>
    <w:rsid w:val="785C7716"/>
    <w:rsid w:val="787B138E"/>
    <w:rsid w:val="78810EC6"/>
    <w:rsid w:val="7892370F"/>
    <w:rsid w:val="78A43B6E"/>
    <w:rsid w:val="78B33DB1"/>
    <w:rsid w:val="78D13BAA"/>
    <w:rsid w:val="78DD0E2E"/>
    <w:rsid w:val="78F61EF0"/>
    <w:rsid w:val="79003EBB"/>
    <w:rsid w:val="79305402"/>
    <w:rsid w:val="793547C6"/>
    <w:rsid w:val="79464C25"/>
    <w:rsid w:val="794C38BE"/>
    <w:rsid w:val="79600FC2"/>
    <w:rsid w:val="79651A21"/>
    <w:rsid w:val="796601F4"/>
    <w:rsid w:val="799314ED"/>
    <w:rsid w:val="79A75D95"/>
    <w:rsid w:val="79D35A59"/>
    <w:rsid w:val="79DA5183"/>
    <w:rsid w:val="79DF29C5"/>
    <w:rsid w:val="7A013EC0"/>
    <w:rsid w:val="7A150161"/>
    <w:rsid w:val="7A1A5D2B"/>
    <w:rsid w:val="7A1B0F8E"/>
    <w:rsid w:val="7A1C7734"/>
    <w:rsid w:val="7A426848"/>
    <w:rsid w:val="7A637C84"/>
    <w:rsid w:val="7A661BCC"/>
    <w:rsid w:val="7A6B246A"/>
    <w:rsid w:val="7A7C6425"/>
    <w:rsid w:val="7A7E254E"/>
    <w:rsid w:val="7A852D02"/>
    <w:rsid w:val="7AA70EA4"/>
    <w:rsid w:val="7AAF2356"/>
    <w:rsid w:val="7AB4796D"/>
    <w:rsid w:val="7ABC5470"/>
    <w:rsid w:val="7ABC786B"/>
    <w:rsid w:val="7ACD6C80"/>
    <w:rsid w:val="7AF41C4A"/>
    <w:rsid w:val="7B5E00B2"/>
    <w:rsid w:val="7B8259F4"/>
    <w:rsid w:val="7BA62B70"/>
    <w:rsid w:val="7BB86609"/>
    <w:rsid w:val="7BBF72D7"/>
    <w:rsid w:val="7BC36E4B"/>
    <w:rsid w:val="7BC67474"/>
    <w:rsid w:val="7BC71922"/>
    <w:rsid w:val="7BD36518"/>
    <w:rsid w:val="7C134B67"/>
    <w:rsid w:val="7C3F3455"/>
    <w:rsid w:val="7C442538"/>
    <w:rsid w:val="7C553109"/>
    <w:rsid w:val="7C6A0F66"/>
    <w:rsid w:val="7C8B428C"/>
    <w:rsid w:val="7C91107A"/>
    <w:rsid w:val="7C952077"/>
    <w:rsid w:val="7CA56B7F"/>
    <w:rsid w:val="7CBB7313"/>
    <w:rsid w:val="7CE65DD7"/>
    <w:rsid w:val="7D030071"/>
    <w:rsid w:val="7D08491E"/>
    <w:rsid w:val="7D1103F8"/>
    <w:rsid w:val="7D116164"/>
    <w:rsid w:val="7D127334"/>
    <w:rsid w:val="7D2266EA"/>
    <w:rsid w:val="7D320813"/>
    <w:rsid w:val="7D3B6123"/>
    <w:rsid w:val="7D423956"/>
    <w:rsid w:val="7D4A4D7C"/>
    <w:rsid w:val="7D52198F"/>
    <w:rsid w:val="7D605B8A"/>
    <w:rsid w:val="7D627B54"/>
    <w:rsid w:val="7D7B016B"/>
    <w:rsid w:val="7D7F579D"/>
    <w:rsid w:val="7D8E349D"/>
    <w:rsid w:val="7DAF266D"/>
    <w:rsid w:val="7DCC7DEE"/>
    <w:rsid w:val="7DEB5D9B"/>
    <w:rsid w:val="7E090FD2"/>
    <w:rsid w:val="7E160E13"/>
    <w:rsid w:val="7E176B90"/>
    <w:rsid w:val="7E2310B3"/>
    <w:rsid w:val="7E244E09"/>
    <w:rsid w:val="7E285926"/>
    <w:rsid w:val="7E2D0B08"/>
    <w:rsid w:val="7E352505"/>
    <w:rsid w:val="7E4365D3"/>
    <w:rsid w:val="7E437985"/>
    <w:rsid w:val="7E4E00D8"/>
    <w:rsid w:val="7E6E42D6"/>
    <w:rsid w:val="7E711BA3"/>
    <w:rsid w:val="7E81400A"/>
    <w:rsid w:val="7E8308AB"/>
    <w:rsid w:val="7EA00066"/>
    <w:rsid w:val="7EAA6C74"/>
    <w:rsid w:val="7EAB0AEE"/>
    <w:rsid w:val="7EB4618D"/>
    <w:rsid w:val="7F186EB2"/>
    <w:rsid w:val="7F2C4F2E"/>
    <w:rsid w:val="7F390760"/>
    <w:rsid w:val="7F4514DB"/>
    <w:rsid w:val="7F8400CD"/>
    <w:rsid w:val="7F857EEC"/>
    <w:rsid w:val="7F8F2756"/>
    <w:rsid w:val="7F967F89"/>
    <w:rsid w:val="7F9B559F"/>
    <w:rsid w:val="7FB56CB2"/>
    <w:rsid w:val="7FBAEE88"/>
    <w:rsid w:val="7FCE2F7D"/>
    <w:rsid w:val="AFB50400"/>
    <w:rsid w:val="DFBF40C8"/>
    <w:rsid w:val="E6D7EDDD"/>
    <w:rsid w:val="E9FFE3BD"/>
    <w:rsid w:val="FBFE65AC"/>
    <w:rsid w:val="FF6FF0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9"/>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6"/>
    <w:link w:val="157"/>
    <w:autoRedefine/>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6"/>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spacing w:after="120"/>
      <w:ind w:left="420" w:leftChars="200" w:firstLine="420" w:firstLineChars="200"/>
    </w:pPr>
    <w:rPr>
      <w:sz w:val="21"/>
    </w:rPr>
  </w:style>
  <w:style w:type="paragraph" w:styleId="3">
    <w:name w:val="Body Text Indent"/>
    <w:basedOn w:val="1"/>
    <w:autoRedefine/>
    <w:qFormat/>
    <w:uiPriority w:val="0"/>
    <w:pPr>
      <w:ind w:firstLine="645"/>
    </w:pPr>
    <w:rPr>
      <w:rFonts w:ascii="Arial" w:hAnsi="Arial" w:eastAsia="仿宋_GB2312"/>
      <w:sz w:val="28"/>
    </w:rPr>
  </w:style>
  <w:style w:type="paragraph" w:styleId="6">
    <w:name w:val="Normal Indent"/>
    <w:basedOn w:val="1"/>
    <w:link w:val="150"/>
    <w:autoRedefine/>
    <w:qFormat/>
    <w:uiPriority w:val="0"/>
    <w:pPr>
      <w:ind w:firstLine="420"/>
    </w:pPr>
    <w:rPr>
      <w:kern w:val="0"/>
      <w:sz w:val="20"/>
    </w:rPr>
  </w:style>
  <w:style w:type="paragraph" w:styleId="9">
    <w:name w:val="annotation text"/>
    <w:basedOn w:val="1"/>
    <w:link w:val="151"/>
    <w:autoRedefine/>
    <w:qFormat/>
    <w:uiPriority w:val="0"/>
    <w:pPr>
      <w:jc w:val="left"/>
    </w:pPr>
  </w:style>
  <w:style w:type="paragraph" w:styleId="10">
    <w:name w:val="Body Text"/>
    <w:basedOn w:val="1"/>
    <w:autoRedefine/>
    <w:qFormat/>
    <w:uiPriority w:val="0"/>
    <w:pPr>
      <w:tabs>
        <w:tab w:val="left" w:pos="567"/>
      </w:tabs>
      <w:spacing w:before="120" w:line="22" w:lineRule="atLeast"/>
    </w:pPr>
    <w:rPr>
      <w:rFonts w:ascii="宋体" w:hAnsi="宋体"/>
      <w:sz w:val="24"/>
    </w:rPr>
  </w:style>
  <w:style w:type="paragraph" w:styleId="11">
    <w:name w:val="Plain Text"/>
    <w:basedOn w:val="1"/>
    <w:autoRedefine/>
    <w:qFormat/>
    <w:uiPriority w:val="0"/>
    <w:rPr>
      <w:rFonts w:ascii="宋体" w:hAnsi="Courier New"/>
      <w:szCs w:val="20"/>
    </w:rPr>
  </w:style>
  <w:style w:type="paragraph" w:styleId="12">
    <w:name w:val="Balloon Text"/>
    <w:basedOn w:val="1"/>
    <w:link w:val="47"/>
    <w:autoRedefine/>
    <w:qFormat/>
    <w:uiPriority w:val="0"/>
    <w:rPr>
      <w:sz w:val="18"/>
      <w:szCs w:val="18"/>
    </w:rPr>
  </w:style>
  <w:style w:type="paragraph" w:styleId="13">
    <w:name w:val="footer"/>
    <w:basedOn w:val="1"/>
    <w:link w:val="146"/>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4">
    <w:name w:val="header"/>
    <w:basedOn w:val="1"/>
    <w:link w:val="147"/>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6"/>
    <w:next w:val="1"/>
    <w:autoRedefine/>
    <w:qFormat/>
    <w:uiPriority w:val="39"/>
    <w:pPr>
      <w:spacing w:before="120" w:after="120"/>
    </w:pPr>
    <w:rPr>
      <w:rFonts w:eastAsia="宋体"/>
      <w:bCs/>
      <w:caps/>
      <w:sz w:val="30"/>
      <w:szCs w:val="30"/>
    </w:rPr>
  </w:style>
  <w:style w:type="paragraph" w:styleId="16">
    <w:name w:val="index 1"/>
    <w:basedOn w:val="1"/>
    <w:next w:val="1"/>
    <w:autoRedefine/>
    <w:qFormat/>
    <w:uiPriority w:val="0"/>
    <w:rPr>
      <w:rFonts w:eastAsia="仿宋_GB2312"/>
      <w:b/>
      <w:sz w:val="24"/>
    </w:rPr>
  </w:style>
  <w:style w:type="paragraph" w:styleId="17">
    <w:name w:val="footnote text"/>
    <w:basedOn w:val="1"/>
    <w:autoRedefine/>
    <w:qFormat/>
    <w:uiPriority w:val="0"/>
    <w:pPr>
      <w:snapToGrid w:val="0"/>
      <w:jc w:val="left"/>
    </w:pPr>
    <w:rPr>
      <w:sz w:val="18"/>
    </w:rPr>
  </w:style>
  <w:style w:type="paragraph" w:styleId="18">
    <w:name w:val="toc 2"/>
    <w:basedOn w:val="1"/>
    <w:next w:val="1"/>
    <w:autoRedefine/>
    <w:qFormat/>
    <w:uiPriority w:val="39"/>
    <w:pPr>
      <w:tabs>
        <w:tab w:val="right" w:leader="dot" w:pos="8296"/>
      </w:tabs>
      <w:spacing w:line="380" w:lineRule="exact"/>
    </w:pPr>
  </w:style>
  <w:style w:type="paragraph" w:styleId="19">
    <w:name w:val="Normal (Web)"/>
    <w:basedOn w:val="1"/>
    <w:autoRedefine/>
    <w:unhideWhenUsed/>
    <w:qFormat/>
    <w:uiPriority w:val="99"/>
    <w:pPr>
      <w:widowControl/>
      <w:spacing w:beforeAutospacing="1" w:afterAutospacing="1"/>
      <w:jc w:val="left"/>
    </w:pPr>
    <w:rPr>
      <w:rFonts w:ascii="宋体" w:hAnsi="宋体"/>
      <w:kern w:val="0"/>
      <w:sz w:val="24"/>
    </w:rPr>
  </w:style>
  <w:style w:type="paragraph" w:styleId="20">
    <w:name w:val="Title"/>
    <w:basedOn w:val="1"/>
    <w:next w:val="1"/>
    <w:autoRedefine/>
    <w:qFormat/>
    <w:uiPriority w:val="0"/>
    <w:pPr>
      <w:spacing w:before="240" w:after="60"/>
      <w:jc w:val="center"/>
      <w:outlineLvl w:val="0"/>
    </w:pPr>
    <w:rPr>
      <w:rFonts w:ascii="Cambria" w:hAnsi="Cambria" w:eastAsia="仿宋"/>
      <w:b/>
      <w:bCs/>
      <w:sz w:val="32"/>
      <w:szCs w:val="32"/>
    </w:rPr>
  </w:style>
  <w:style w:type="paragraph" w:styleId="21">
    <w:name w:val="annotation subject"/>
    <w:basedOn w:val="9"/>
    <w:next w:val="9"/>
    <w:link w:val="152"/>
    <w:autoRedefine/>
    <w:qFormat/>
    <w:uiPriority w:val="0"/>
    <w:rPr>
      <w:b/>
      <w:bCs/>
    </w:rPr>
  </w:style>
  <w:style w:type="paragraph" w:styleId="22">
    <w:name w:val="Body Text First Indent"/>
    <w:basedOn w:val="10"/>
    <w:qFormat/>
    <w:uiPriority w:val="0"/>
    <w:pPr>
      <w:ind w:firstLine="420" w:firstLineChars="1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22"/>
    <w:rPr>
      <w:b/>
    </w:rPr>
  </w:style>
  <w:style w:type="character" w:styleId="27">
    <w:name w:val="page number"/>
    <w:basedOn w:val="25"/>
    <w:autoRedefine/>
    <w:qFormat/>
    <w:uiPriority w:val="0"/>
  </w:style>
  <w:style w:type="character" w:styleId="28">
    <w:name w:val="Emphasis"/>
    <w:basedOn w:val="25"/>
    <w:autoRedefine/>
    <w:qFormat/>
    <w:uiPriority w:val="20"/>
  </w:style>
  <w:style w:type="character" w:styleId="29">
    <w:name w:val="HTML Definition"/>
    <w:basedOn w:val="25"/>
    <w:autoRedefine/>
    <w:qFormat/>
    <w:uiPriority w:val="0"/>
  </w:style>
  <w:style w:type="character" w:styleId="30">
    <w:name w:val="HTML Acronym"/>
    <w:basedOn w:val="25"/>
    <w:autoRedefine/>
    <w:qFormat/>
    <w:uiPriority w:val="0"/>
  </w:style>
  <w:style w:type="character" w:styleId="31">
    <w:name w:val="HTML Variable"/>
    <w:basedOn w:val="25"/>
    <w:autoRedefine/>
    <w:qFormat/>
    <w:uiPriority w:val="0"/>
  </w:style>
  <w:style w:type="character" w:styleId="32">
    <w:name w:val="Hyperlink"/>
    <w:basedOn w:val="25"/>
    <w:autoRedefine/>
    <w:unhideWhenUsed/>
    <w:qFormat/>
    <w:uiPriority w:val="99"/>
    <w:rPr>
      <w:color w:val="0563C1" w:themeColor="hyperlink"/>
      <w:u w:val="single"/>
      <w14:textFill>
        <w14:solidFill>
          <w14:schemeClr w14:val="hlink"/>
        </w14:solidFill>
      </w14:textFill>
    </w:rPr>
  </w:style>
  <w:style w:type="character" w:styleId="33">
    <w:name w:val="HTML Code"/>
    <w:basedOn w:val="25"/>
    <w:autoRedefine/>
    <w:qFormat/>
    <w:uiPriority w:val="0"/>
    <w:rPr>
      <w:rFonts w:ascii="Courier New" w:hAnsi="Courier New"/>
      <w:sz w:val="20"/>
    </w:rPr>
  </w:style>
  <w:style w:type="character" w:styleId="34">
    <w:name w:val="annotation reference"/>
    <w:basedOn w:val="25"/>
    <w:autoRedefine/>
    <w:qFormat/>
    <w:uiPriority w:val="0"/>
    <w:rPr>
      <w:sz w:val="21"/>
      <w:szCs w:val="21"/>
    </w:rPr>
  </w:style>
  <w:style w:type="character" w:styleId="35">
    <w:name w:val="HTML Cite"/>
    <w:basedOn w:val="25"/>
    <w:autoRedefine/>
    <w:qFormat/>
    <w:uiPriority w:val="0"/>
    <w:rPr>
      <w:color w:val="2C7AA6"/>
      <w:sz w:val="14"/>
      <w:szCs w:val="14"/>
      <w:bdr w:val="single" w:color="A9D5EA" w:sz="4" w:space="0"/>
      <w:shd w:val="clear" w:color="auto" w:fill="DEF4FC"/>
    </w:rPr>
  </w:style>
  <w:style w:type="character" w:styleId="36">
    <w:name w:val="footnote reference"/>
    <w:basedOn w:val="25"/>
    <w:autoRedefine/>
    <w:qFormat/>
    <w:uiPriority w:val="0"/>
    <w:rPr>
      <w:vertAlign w:val="superscript"/>
    </w:rPr>
  </w:style>
  <w:style w:type="paragraph" w:customStyle="1" w:styleId="37">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8">
    <w:name w:val="表格文字"/>
    <w:basedOn w:val="1"/>
    <w:autoRedefine/>
    <w:qFormat/>
    <w:uiPriority w:val="99"/>
    <w:pPr>
      <w:adjustRightInd w:val="0"/>
      <w:spacing w:line="420" w:lineRule="atLeast"/>
      <w:jc w:val="left"/>
      <w:textAlignment w:val="baseline"/>
    </w:pPr>
    <w:rPr>
      <w:kern w:val="0"/>
      <w:szCs w:val="21"/>
    </w:rPr>
  </w:style>
  <w:style w:type="paragraph" w:customStyle="1" w:styleId="39">
    <w:name w:val="正文-啊"/>
    <w:basedOn w:val="1"/>
    <w:autoRedefine/>
    <w:qFormat/>
    <w:uiPriority w:val="0"/>
    <w:pPr>
      <w:spacing w:beforeLines="100" w:after="100" w:afterAutospacing="1" w:line="273" w:lineRule="auto"/>
      <w:ind w:left="210" w:right="210" w:firstLine="600"/>
      <w:contextualSpacing/>
    </w:pPr>
    <w:rPr>
      <w:rFonts w:ascii="微软雅黑" w:hAnsi="微软雅黑" w:eastAsia="微软雅黑"/>
      <w:color w:val="000000"/>
      <w:sz w:val="24"/>
    </w:rPr>
  </w:style>
  <w:style w:type="paragraph" w:customStyle="1" w:styleId="40">
    <w:name w:val="列出段落1"/>
    <w:basedOn w:val="1"/>
    <w:autoRedefine/>
    <w:qFormat/>
    <w:uiPriority w:val="34"/>
    <w:pPr>
      <w:ind w:firstLine="420" w:firstLineChars="200"/>
    </w:pPr>
    <w:rPr>
      <w:rFonts w:ascii="Calibri" w:hAnsi="Calibri"/>
      <w:szCs w:val="22"/>
    </w:rPr>
  </w:style>
  <w:style w:type="paragraph" w:customStyle="1" w:styleId="41">
    <w:name w:val="正文_6"/>
    <w:next w:val="1"/>
    <w:autoRedefine/>
    <w:qFormat/>
    <w:uiPriority w:val="0"/>
    <w:rPr>
      <w:rFonts w:ascii="Times New Roman" w:hAnsi="Times New Roman" w:eastAsia="宋体" w:cs="Times New Roman"/>
      <w:sz w:val="24"/>
      <w:szCs w:val="24"/>
      <w:lang w:val="en-US" w:eastAsia="zh-CN" w:bidi="ar-SA"/>
    </w:rPr>
  </w:style>
  <w:style w:type="paragraph" w:customStyle="1" w:styleId="42">
    <w:name w:val="样式 样式 行距: 1.5 倍行距 + 首行缩进:  2 字符"/>
    <w:basedOn w:val="1"/>
    <w:autoRedefine/>
    <w:qFormat/>
    <w:uiPriority w:val="0"/>
    <w:rPr>
      <w:rFonts w:cs="宋体"/>
      <w:sz w:val="24"/>
    </w:rPr>
  </w:style>
  <w:style w:type="paragraph" w:customStyle="1" w:styleId="43">
    <w:name w:val="列出段落11"/>
    <w:basedOn w:val="1"/>
    <w:autoRedefine/>
    <w:qFormat/>
    <w:uiPriority w:val="0"/>
    <w:pPr>
      <w:ind w:firstLine="420" w:firstLineChars="200"/>
    </w:pPr>
    <w:rPr>
      <w:szCs w:val="21"/>
    </w:rPr>
  </w:style>
  <w:style w:type="paragraph" w:customStyle="1" w:styleId="44">
    <w:name w:val="!正文"/>
    <w:basedOn w:val="1"/>
    <w:autoRedefine/>
    <w:qFormat/>
    <w:uiPriority w:val="0"/>
    <w:pPr>
      <w:overflowPunct w:val="0"/>
      <w:spacing w:beforeLines="50" w:line="300" w:lineRule="auto"/>
      <w:ind w:firstLine="560" w:firstLineChars="200"/>
    </w:pPr>
    <w:rPr>
      <w:rFonts w:eastAsia="仿宋"/>
      <w:sz w:val="28"/>
      <w:szCs w:val="28"/>
    </w:rPr>
  </w:style>
  <w:style w:type="paragraph" w:customStyle="1" w:styleId="45">
    <w:name w:val="BodyText1I2"/>
    <w:basedOn w:val="46"/>
    <w:autoRedefine/>
    <w:qFormat/>
    <w:uiPriority w:val="0"/>
    <w:pPr>
      <w:spacing w:after="120"/>
      <w:ind w:left="200" w:leftChars="200" w:firstLine="420" w:firstLineChars="200"/>
    </w:pPr>
    <w:rPr>
      <w:rFonts w:ascii="Times New Roman"/>
    </w:rPr>
  </w:style>
  <w:style w:type="paragraph" w:customStyle="1" w:styleId="46">
    <w:name w:val="BodyTextIndent"/>
    <w:basedOn w:val="1"/>
    <w:autoRedefine/>
    <w:qFormat/>
    <w:uiPriority w:val="0"/>
    <w:pPr>
      <w:ind w:left="420"/>
      <w:textAlignment w:val="baseline"/>
    </w:pPr>
    <w:rPr>
      <w:rFonts w:ascii="仿宋_GB2312" w:eastAsia="仿宋_GB2312"/>
      <w:sz w:val="32"/>
    </w:rPr>
  </w:style>
  <w:style w:type="character" w:customStyle="1" w:styleId="47">
    <w:name w:val="批注框文本 字符"/>
    <w:basedOn w:val="25"/>
    <w:link w:val="12"/>
    <w:autoRedefine/>
    <w:qFormat/>
    <w:uiPriority w:val="0"/>
    <w:rPr>
      <w:rFonts w:ascii="Times New Roman" w:hAnsi="Times New Roman" w:eastAsia="宋体" w:cs="Times New Roman"/>
      <w:kern w:val="2"/>
      <w:sz w:val="18"/>
      <w:szCs w:val="18"/>
    </w:rPr>
  </w:style>
  <w:style w:type="character" w:customStyle="1" w:styleId="48">
    <w:name w:val="hover"/>
    <w:basedOn w:val="25"/>
    <w:autoRedefine/>
    <w:qFormat/>
    <w:uiPriority w:val="0"/>
    <w:rPr>
      <w:u w:val="none"/>
    </w:rPr>
  </w:style>
  <w:style w:type="character" w:customStyle="1" w:styleId="49">
    <w:name w:val="hover1"/>
    <w:basedOn w:val="25"/>
    <w:autoRedefine/>
    <w:qFormat/>
    <w:uiPriority w:val="0"/>
    <w:rPr>
      <w:color w:val="1632EF"/>
      <w:u w:val="single"/>
    </w:rPr>
  </w:style>
  <w:style w:type="character" w:customStyle="1" w:styleId="50">
    <w:name w:val="hover2"/>
    <w:basedOn w:val="25"/>
    <w:autoRedefine/>
    <w:qFormat/>
    <w:uiPriority w:val="0"/>
    <w:rPr>
      <w:color w:val="3C88FF"/>
    </w:rPr>
  </w:style>
  <w:style w:type="character" w:customStyle="1" w:styleId="51">
    <w:name w:val="hover3"/>
    <w:basedOn w:val="25"/>
    <w:autoRedefine/>
    <w:qFormat/>
    <w:uiPriority w:val="0"/>
  </w:style>
  <w:style w:type="character" w:customStyle="1" w:styleId="52">
    <w:name w:val="hover4"/>
    <w:basedOn w:val="25"/>
    <w:autoRedefine/>
    <w:qFormat/>
    <w:uiPriority w:val="0"/>
    <w:rPr>
      <w:u w:val="single"/>
    </w:rPr>
  </w:style>
  <w:style w:type="character" w:customStyle="1" w:styleId="53">
    <w:name w:val="hover5"/>
    <w:basedOn w:val="25"/>
    <w:autoRedefine/>
    <w:qFormat/>
    <w:uiPriority w:val="0"/>
    <w:rPr>
      <w:shd w:val="clear" w:color="auto" w:fill="F6F6F6"/>
    </w:rPr>
  </w:style>
  <w:style w:type="character" w:customStyle="1" w:styleId="54">
    <w:name w:val="hover6"/>
    <w:basedOn w:val="25"/>
    <w:autoRedefine/>
    <w:qFormat/>
    <w:uiPriority w:val="0"/>
    <w:rPr>
      <w:color w:val="1632EF"/>
      <w:u w:val="single"/>
    </w:rPr>
  </w:style>
  <w:style w:type="character" w:customStyle="1" w:styleId="55">
    <w:name w:val="hover7"/>
    <w:basedOn w:val="25"/>
    <w:autoRedefine/>
    <w:qFormat/>
    <w:uiPriority w:val="0"/>
    <w:rPr>
      <w:color w:val="3C88FF"/>
    </w:rPr>
  </w:style>
  <w:style w:type="character" w:customStyle="1" w:styleId="56">
    <w:name w:val="hover8"/>
    <w:basedOn w:val="25"/>
    <w:autoRedefine/>
    <w:qFormat/>
    <w:uiPriority w:val="0"/>
    <w:rPr>
      <w:color w:val="3C88FF"/>
    </w:rPr>
  </w:style>
  <w:style w:type="character" w:customStyle="1" w:styleId="57">
    <w:name w:val="hover9"/>
    <w:basedOn w:val="25"/>
    <w:autoRedefine/>
    <w:qFormat/>
    <w:uiPriority w:val="0"/>
    <w:rPr>
      <w:u w:val="single"/>
    </w:rPr>
  </w:style>
  <w:style w:type="character" w:customStyle="1" w:styleId="58">
    <w:name w:val="hover10"/>
    <w:basedOn w:val="25"/>
    <w:autoRedefine/>
    <w:qFormat/>
    <w:uiPriority w:val="0"/>
    <w:rPr>
      <w:color w:val="3D91FF"/>
    </w:rPr>
  </w:style>
  <w:style w:type="character" w:customStyle="1" w:styleId="59">
    <w:name w:val="hover11"/>
    <w:basedOn w:val="25"/>
    <w:autoRedefine/>
    <w:qFormat/>
    <w:uiPriority w:val="0"/>
    <w:rPr>
      <w:u w:val="single"/>
    </w:rPr>
  </w:style>
  <w:style w:type="character" w:customStyle="1" w:styleId="60">
    <w:name w:val="hover12"/>
    <w:basedOn w:val="25"/>
    <w:autoRedefine/>
    <w:qFormat/>
    <w:uiPriority w:val="0"/>
    <w:rPr>
      <w:u w:val="none"/>
    </w:rPr>
  </w:style>
  <w:style w:type="character" w:customStyle="1" w:styleId="61">
    <w:name w:val="hover13"/>
    <w:basedOn w:val="25"/>
    <w:autoRedefine/>
    <w:qFormat/>
    <w:uiPriority w:val="0"/>
    <w:rPr>
      <w:color w:val="3D91FF"/>
    </w:rPr>
  </w:style>
  <w:style w:type="character" w:customStyle="1" w:styleId="62">
    <w:name w:val="hover14"/>
    <w:basedOn w:val="25"/>
    <w:autoRedefine/>
    <w:qFormat/>
    <w:uiPriority w:val="0"/>
    <w:rPr>
      <w:u w:val="single"/>
    </w:rPr>
  </w:style>
  <w:style w:type="character" w:customStyle="1" w:styleId="63">
    <w:name w:val="hover15"/>
    <w:basedOn w:val="25"/>
    <w:autoRedefine/>
    <w:qFormat/>
    <w:uiPriority w:val="0"/>
    <w:rPr>
      <w:u w:val="single"/>
    </w:rPr>
  </w:style>
  <w:style w:type="character" w:customStyle="1" w:styleId="64">
    <w:name w:val="hover16"/>
    <w:basedOn w:val="25"/>
    <w:autoRedefine/>
    <w:qFormat/>
    <w:uiPriority w:val="0"/>
    <w:rPr>
      <w:u w:val="single"/>
    </w:rPr>
  </w:style>
  <w:style w:type="character" w:customStyle="1" w:styleId="65">
    <w:name w:val="hover17"/>
    <w:basedOn w:val="25"/>
    <w:autoRedefine/>
    <w:qFormat/>
    <w:uiPriority w:val="0"/>
    <w:rPr>
      <w:u w:val="none"/>
    </w:rPr>
  </w:style>
  <w:style w:type="character" w:customStyle="1" w:styleId="66">
    <w:name w:val="nth-of-type(3)"/>
    <w:basedOn w:val="25"/>
    <w:autoRedefine/>
    <w:qFormat/>
    <w:uiPriority w:val="0"/>
  </w:style>
  <w:style w:type="character" w:customStyle="1" w:styleId="67">
    <w:name w:val="adalbumlist-btn-841bd"/>
    <w:basedOn w:val="25"/>
    <w:autoRedefine/>
    <w:qFormat/>
    <w:uiPriority w:val="0"/>
    <w:rPr>
      <w:color w:val="FFFFFF"/>
      <w:shd w:val="clear" w:color="auto" w:fill="FF3F3F"/>
    </w:rPr>
  </w:style>
  <w:style w:type="character" w:customStyle="1" w:styleId="68">
    <w:name w:val="adalbumlist-album_ads_tip-3c9b7"/>
    <w:basedOn w:val="25"/>
    <w:autoRedefine/>
    <w:qFormat/>
    <w:uiPriority w:val="0"/>
    <w:rPr>
      <w:color w:val="FFFFFF"/>
    </w:rPr>
  </w:style>
  <w:style w:type="character" w:customStyle="1" w:styleId="69">
    <w:name w:val="nth-child(1)"/>
    <w:basedOn w:val="25"/>
    <w:autoRedefine/>
    <w:qFormat/>
    <w:uiPriority w:val="0"/>
  </w:style>
  <w:style w:type="character" w:customStyle="1" w:styleId="70">
    <w:name w:val="nth-child(1)1"/>
    <w:basedOn w:val="25"/>
    <w:autoRedefine/>
    <w:qFormat/>
    <w:uiPriority w:val="0"/>
  </w:style>
  <w:style w:type="character" w:customStyle="1" w:styleId="71">
    <w:name w:val="nth-child(1)2"/>
    <w:basedOn w:val="25"/>
    <w:autoRedefine/>
    <w:qFormat/>
    <w:uiPriority w:val="0"/>
    <w:rPr>
      <w:color w:val="999999"/>
    </w:rPr>
  </w:style>
  <w:style w:type="character" w:customStyle="1" w:styleId="72">
    <w:name w:val="nth-child(1)3"/>
    <w:basedOn w:val="25"/>
    <w:autoRedefine/>
    <w:qFormat/>
    <w:uiPriority w:val="0"/>
    <w:rPr>
      <w:color w:val="999999"/>
    </w:rPr>
  </w:style>
  <w:style w:type="character" w:customStyle="1" w:styleId="73">
    <w:name w:val="nth-child(7)"/>
    <w:basedOn w:val="25"/>
    <w:autoRedefine/>
    <w:qFormat/>
    <w:uiPriority w:val="0"/>
    <w:rPr>
      <w:color w:val="FFFFFF"/>
    </w:rPr>
  </w:style>
  <w:style w:type="character" w:customStyle="1" w:styleId="74">
    <w:name w:val="nth-of-type(1)"/>
    <w:basedOn w:val="25"/>
    <w:autoRedefine/>
    <w:qFormat/>
    <w:uiPriority w:val="0"/>
  </w:style>
  <w:style w:type="character" w:customStyle="1" w:styleId="75">
    <w:name w:val="nth-of-type(1)1"/>
    <w:basedOn w:val="25"/>
    <w:autoRedefine/>
    <w:qFormat/>
    <w:uiPriority w:val="0"/>
  </w:style>
  <w:style w:type="character" w:customStyle="1" w:styleId="76">
    <w:name w:val="nth-of-type(1)2"/>
    <w:basedOn w:val="25"/>
    <w:autoRedefine/>
    <w:qFormat/>
    <w:uiPriority w:val="0"/>
    <w:rPr>
      <w:color w:val="FFFFFF"/>
    </w:rPr>
  </w:style>
  <w:style w:type="character" w:customStyle="1" w:styleId="77">
    <w:name w:val="nth-of-type(1)3"/>
    <w:basedOn w:val="25"/>
    <w:autoRedefine/>
    <w:qFormat/>
    <w:uiPriority w:val="0"/>
  </w:style>
  <w:style w:type="character" w:customStyle="1" w:styleId="78">
    <w:name w:val="nth-of-type(1)4"/>
    <w:basedOn w:val="25"/>
    <w:autoRedefine/>
    <w:qFormat/>
    <w:uiPriority w:val="0"/>
    <w:rPr>
      <w:b/>
      <w:bCs/>
      <w:color w:val="FFFFFF"/>
      <w:sz w:val="15"/>
      <w:szCs w:val="15"/>
    </w:rPr>
  </w:style>
  <w:style w:type="character" w:customStyle="1" w:styleId="79">
    <w:name w:val="nth-of-type(1)5"/>
    <w:basedOn w:val="25"/>
    <w:autoRedefine/>
    <w:qFormat/>
    <w:uiPriority w:val="0"/>
  </w:style>
  <w:style w:type="character" w:customStyle="1" w:styleId="80">
    <w:name w:val="nth-of-type(1)6"/>
    <w:basedOn w:val="25"/>
    <w:autoRedefine/>
    <w:qFormat/>
    <w:uiPriority w:val="0"/>
    <w:rPr>
      <w:color w:val="EE5959"/>
      <w:sz w:val="16"/>
      <w:szCs w:val="16"/>
    </w:rPr>
  </w:style>
  <w:style w:type="character" w:customStyle="1" w:styleId="81">
    <w:name w:val="nth-of-type(1)7"/>
    <w:basedOn w:val="25"/>
    <w:autoRedefine/>
    <w:qFormat/>
    <w:uiPriority w:val="0"/>
  </w:style>
  <w:style w:type="character" w:customStyle="1" w:styleId="82">
    <w:name w:val="nth-of-type(1)8"/>
    <w:basedOn w:val="25"/>
    <w:autoRedefine/>
    <w:qFormat/>
    <w:uiPriority w:val="0"/>
  </w:style>
  <w:style w:type="character" w:customStyle="1" w:styleId="83">
    <w:name w:val="nth-child(2)"/>
    <w:basedOn w:val="25"/>
    <w:autoRedefine/>
    <w:qFormat/>
    <w:uiPriority w:val="0"/>
  </w:style>
  <w:style w:type="character" w:customStyle="1" w:styleId="84">
    <w:name w:val="nth-child(3)"/>
    <w:basedOn w:val="25"/>
    <w:autoRedefine/>
    <w:qFormat/>
    <w:uiPriority w:val="0"/>
    <w:rPr>
      <w:color w:val="000000"/>
    </w:rPr>
  </w:style>
  <w:style w:type="character" w:customStyle="1" w:styleId="85">
    <w:name w:val="nth-child(3)1"/>
    <w:basedOn w:val="25"/>
    <w:autoRedefine/>
    <w:qFormat/>
    <w:uiPriority w:val="0"/>
    <w:rPr>
      <w:color w:val="222222"/>
    </w:rPr>
  </w:style>
  <w:style w:type="character" w:customStyle="1" w:styleId="86">
    <w:name w:val="nth-of-type(2)"/>
    <w:basedOn w:val="25"/>
    <w:autoRedefine/>
    <w:qFormat/>
    <w:uiPriority w:val="0"/>
  </w:style>
  <w:style w:type="character" w:customStyle="1" w:styleId="87">
    <w:name w:val="nth-of-type(2)1"/>
    <w:basedOn w:val="25"/>
    <w:autoRedefine/>
    <w:qFormat/>
    <w:uiPriority w:val="0"/>
    <w:rPr>
      <w:shd w:val="clear" w:color="auto" w:fill="555555"/>
    </w:rPr>
  </w:style>
  <w:style w:type="character" w:customStyle="1" w:styleId="88">
    <w:name w:val="nth-of-type(2)2"/>
    <w:basedOn w:val="25"/>
    <w:autoRedefine/>
    <w:qFormat/>
    <w:uiPriority w:val="0"/>
    <w:rPr>
      <w:b/>
      <w:bCs/>
      <w:color w:val="000000"/>
      <w:sz w:val="15"/>
      <w:szCs w:val="15"/>
    </w:rPr>
  </w:style>
  <w:style w:type="character" w:customStyle="1" w:styleId="89">
    <w:name w:val="nth-of-type(2)3"/>
    <w:basedOn w:val="25"/>
    <w:autoRedefine/>
    <w:qFormat/>
    <w:uiPriority w:val="0"/>
  </w:style>
  <w:style w:type="character" w:customStyle="1" w:styleId="90">
    <w:name w:val="nth-of-type(2)4"/>
    <w:basedOn w:val="25"/>
    <w:autoRedefine/>
    <w:qFormat/>
    <w:uiPriority w:val="0"/>
    <w:rPr>
      <w:shd w:val="clear" w:color="auto" w:fill="D5D9EB"/>
    </w:rPr>
  </w:style>
  <w:style w:type="character" w:customStyle="1" w:styleId="91">
    <w:name w:val="nth-of-type(2)5"/>
    <w:basedOn w:val="25"/>
    <w:autoRedefine/>
    <w:qFormat/>
    <w:uiPriority w:val="0"/>
  </w:style>
  <w:style w:type="character" w:customStyle="1" w:styleId="92">
    <w:name w:val="nth-of-type(2)6"/>
    <w:basedOn w:val="25"/>
    <w:autoRedefine/>
    <w:qFormat/>
    <w:uiPriority w:val="0"/>
  </w:style>
  <w:style w:type="character" w:customStyle="1" w:styleId="93">
    <w:name w:val="nth-of-type(2)7"/>
    <w:basedOn w:val="25"/>
    <w:autoRedefine/>
    <w:qFormat/>
    <w:uiPriority w:val="0"/>
    <w:rPr>
      <w:shd w:val="clear" w:color="auto" w:fill="F74A4E"/>
    </w:rPr>
  </w:style>
  <w:style w:type="character" w:customStyle="1" w:styleId="94">
    <w:name w:val="index-headcontent-0ccba"/>
    <w:basedOn w:val="25"/>
    <w:autoRedefine/>
    <w:qFormat/>
    <w:uiPriority w:val="0"/>
    <w:rPr>
      <w:vanish/>
    </w:rPr>
  </w:style>
  <w:style w:type="character" w:customStyle="1" w:styleId="95">
    <w:name w:val="index-name-935ff"/>
    <w:basedOn w:val="25"/>
    <w:autoRedefine/>
    <w:qFormat/>
    <w:uiPriority w:val="0"/>
    <w:rPr>
      <w:sz w:val="19"/>
      <w:szCs w:val="19"/>
    </w:rPr>
  </w:style>
  <w:style w:type="character" w:customStyle="1" w:styleId="96">
    <w:name w:val="before10"/>
    <w:basedOn w:val="25"/>
    <w:autoRedefine/>
    <w:qFormat/>
    <w:uiPriority w:val="0"/>
    <w:rPr>
      <w:shd w:val="clear" w:color="auto" w:fill="EEEEEE"/>
    </w:rPr>
  </w:style>
  <w:style w:type="character" w:customStyle="1" w:styleId="97">
    <w:name w:val="before11"/>
    <w:basedOn w:val="25"/>
    <w:autoRedefine/>
    <w:qFormat/>
    <w:uiPriority w:val="0"/>
  </w:style>
  <w:style w:type="character" w:customStyle="1" w:styleId="98">
    <w:name w:val="nth-child(5)"/>
    <w:basedOn w:val="25"/>
    <w:autoRedefine/>
    <w:qFormat/>
    <w:uiPriority w:val="0"/>
    <w:rPr>
      <w:color w:val="666666"/>
    </w:rPr>
  </w:style>
  <w:style w:type="character" w:customStyle="1" w:styleId="99">
    <w:name w:val="nth-child(5)1"/>
    <w:basedOn w:val="25"/>
    <w:autoRedefine/>
    <w:qFormat/>
    <w:uiPriority w:val="0"/>
    <w:rPr>
      <w:color w:val="666666"/>
    </w:rPr>
  </w:style>
  <w:style w:type="character" w:customStyle="1" w:styleId="100">
    <w:name w:val="first-child"/>
    <w:basedOn w:val="25"/>
    <w:autoRedefine/>
    <w:qFormat/>
    <w:uiPriority w:val="0"/>
    <w:rPr>
      <w:color w:val="FFA800"/>
    </w:rPr>
  </w:style>
  <w:style w:type="character" w:customStyle="1" w:styleId="101">
    <w:name w:val="index-select-0a605"/>
    <w:basedOn w:val="25"/>
    <w:autoRedefine/>
    <w:qFormat/>
    <w:uiPriority w:val="0"/>
    <w:rPr>
      <w:color w:val="3088FF"/>
    </w:rPr>
  </w:style>
  <w:style w:type="character" w:customStyle="1" w:styleId="102">
    <w:name w:val="index-select-0a6051"/>
    <w:basedOn w:val="25"/>
    <w:autoRedefine/>
    <w:qFormat/>
    <w:uiPriority w:val="0"/>
    <w:rPr>
      <w:color w:val="FFFFFF"/>
      <w:shd w:val="clear" w:color="auto" w:fill="3C88FF"/>
    </w:rPr>
  </w:style>
  <w:style w:type="character" w:customStyle="1" w:styleId="103">
    <w:name w:val="after3"/>
    <w:basedOn w:val="25"/>
    <w:autoRedefine/>
    <w:qFormat/>
    <w:uiPriority w:val="0"/>
  </w:style>
  <w:style w:type="character" w:customStyle="1" w:styleId="104">
    <w:name w:val="back"/>
    <w:basedOn w:val="25"/>
    <w:autoRedefine/>
    <w:qFormat/>
    <w:uiPriority w:val="0"/>
    <w:rPr>
      <w:shd w:val="clear" w:color="auto" w:fill="111111"/>
    </w:rPr>
  </w:style>
  <w:style w:type="character" w:customStyle="1" w:styleId="105">
    <w:name w:val="back1"/>
    <w:basedOn w:val="25"/>
    <w:autoRedefine/>
    <w:qFormat/>
    <w:uiPriority w:val="0"/>
    <w:rPr>
      <w:shd w:val="clear" w:color="auto" w:fill="111111"/>
    </w:rPr>
  </w:style>
  <w:style w:type="character" w:customStyle="1" w:styleId="106">
    <w:name w:val="nth-child(6)"/>
    <w:basedOn w:val="25"/>
    <w:autoRedefine/>
    <w:qFormat/>
    <w:uiPriority w:val="0"/>
    <w:rPr>
      <w:color w:val="A1A1A1"/>
      <w:sz w:val="15"/>
      <w:szCs w:val="15"/>
    </w:rPr>
  </w:style>
  <w:style w:type="character" w:customStyle="1" w:styleId="107">
    <w:name w:val="nth-child(4)"/>
    <w:basedOn w:val="25"/>
    <w:autoRedefine/>
    <w:qFormat/>
    <w:uiPriority w:val="0"/>
    <w:rPr>
      <w:color w:val="222222"/>
    </w:rPr>
  </w:style>
  <w:style w:type="character" w:customStyle="1" w:styleId="108">
    <w:name w:val="nth-child(4)1"/>
    <w:basedOn w:val="25"/>
    <w:autoRedefine/>
    <w:qFormat/>
    <w:uiPriority w:val="0"/>
    <w:rPr>
      <w:color w:val="222222"/>
    </w:rPr>
  </w:style>
  <w:style w:type="character" w:customStyle="1" w:styleId="109">
    <w:name w:val="text"/>
    <w:basedOn w:val="25"/>
    <w:autoRedefine/>
    <w:qFormat/>
    <w:uiPriority w:val="0"/>
    <w:rPr>
      <w:color w:val="666666"/>
    </w:rPr>
  </w:style>
  <w:style w:type="character" w:customStyle="1" w:styleId="110">
    <w:name w:val="text1"/>
    <w:basedOn w:val="25"/>
    <w:autoRedefine/>
    <w:qFormat/>
    <w:uiPriority w:val="0"/>
    <w:rPr>
      <w:color w:val="666666"/>
    </w:rPr>
  </w:style>
  <w:style w:type="character" w:customStyle="1" w:styleId="111">
    <w:name w:val="before"/>
    <w:basedOn w:val="25"/>
    <w:autoRedefine/>
    <w:qFormat/>
    <w:uiPriority w:val="0"/>
  </w:style>
  <w:style w:type="character" w:customStyle="1" w:styleId="112">
    <w:name w:val="before1"/>
    <w:basedOn w:val="25"/>
    <w:autoRedefine/>
    <w:qFormat/>
    <w:uiPriority w:val="0"/>
    <w:rPr>
      <w:shd w:val="clear" w:color="auto" w:fill="EEEEEE"/>
    </w:rPr>
  </w:style>
  <w:style w:type="character" w:customStyle="1" w:styleId="113">
    <w:name w:val="nth-of-type(3)1"/>
    <w:basedOn w:val="25"/>
    <w:autoRedefine/>
    <w:qFormat/>
    <w:uiPriority w:val="0"/>
    <w:rPr>
      <w:b/>
      <w:bCs/>
      <w:color w:val="000000"/>
      <w:sz w:val="15"/>
      <w:szCs w:val="15"/>
    </w:rPr>
  </w:style>
  <w:style w:type="character" w:customStyle="1" w:styleId="114">
    <w:name w:val="nth-of-type(3)2"/>
    <w:basedOn w:val="25"/>
    <w:autoRedefine/>
    <w:qFormat/>
    <w:uiPriority w:val="0"/>
  </w:style>
  <w:style w:type="character" w:customStyle="1" w:styleId="115">
    <w:name w:val="nth-of-type(3)3"/>
    <w:basedOn w:val="25"/>
    <w:autoRedefine/>
    <w:qFormat/>
    <w:uiPriority w:val="0"/>
    <w:rPr>
      <w:color w:val="EE5959"/>
      <w:shd w:val="clear" w:color="auto" w:fill="D5D9EB"/>
    </w:rPr>
  </w:style>
  <w:style w:type="character" w:customStyle="1" w:styleId="116">
    <w:name w:val="index-name-935ff1"/>
    <w:basedOn w:val="25"/>
    <w:autoRedefine/>
    <w:qFormat/>
    <w:uiPriority w:val="0"/>
    <w:rPr>
      <w:sz w:val="19"/>
      <w:szCs w:val="19"/>
    </w:rPr>
  </w:style>
  <w:style w:type="character" w:customStyle="1" w:styleId="117">
    <w:name w:val="hover56"/>
    <w:basedOn w:val="25"/>
    <w:autoRedefine/>
    <w:qFormat/>
    <w:uiPriority w:val="0"/>
    <w:rPr>
      <w:color w:val="3C88FF"/>
    </w:rPr>
  </w:style>
  <w:style w:type="character" w:customStyle="1" w:styleId="118">
    <w:name w:val="hover57"/>
    <w:basedOn w:val="25"/>
    <w:autoRedefine/>
    <w:qFormat/>
    <w:uiPriority w:val="0"/>
    <w:rPr>
      <w:color w:val="3C88FF"/>
    </w:rPr>
  </w:style>
  <w:style w:type="character" w:customStyle="1" w:styleId="119">
    <w:name w:val="hover58"/>
    <w:basedOn w:val="25"/>
    <w:autoRedefine/>
    <w:qFormat/>
    <w:uiPriority w:val="0"/>
    <w:rPr>
      <w:shd w:val="clear" w:color="auto" w:fill="F6F6F6"/>
    </w:rPr>
  </w:style>
  <w:style w:type="character" w:customStyle="1" w:styleId="120">
    <w:name w:val="hover59"/>
    <w:basedOn w:val="25"/>
    <w:autoRedefine/>
    <w:qFormat/>
    <w:uiPriority w:val="0"/>
    <w:rPr>
      <w:color w:val="1632EF"/>
      <w:u w:val="single"/>
    </w:rPr>
  </w:style>
  <w:style w:type="character" w:customStyle="1" w:styleId="121">
    <w:name w:val="hover60"/>
    <w:basedOn w:val="25"/>
    <w:autoRedefine/>
    <w:qFormat/>
    <w:uiPriority w:val="0"/>
  </w:style>
  <w:style w:type="character" w:customStyle="1" w:styleId="122">
    <w:name w:val="hover61"/>
    <w:basedOn w:val="25"/>
    <w:autoRedefine/>
    <w:qFormat/>
    <w:uiPriority w:val="0"/>
    <w:rPr>
      <w:u w:val="single"/>
    </w:rPr>
  </w:style>
  <w:style w:type="character" w:customStyle="1" w:styleId="123">
    <w:name w:val="hover62"/>
    <w:basedOn w:val="25"/>
    <w:autoRedefine/>
    <w:qFormat/>
    <w:uiPriority w:val="0"/>
    <w:rPr>
      <w:u w:val="none"/>
    </w:rPr>
  </w:style>
  <w:style w:type="character" w:customStyle="1" w:styleId="124">
    <w:name w:val="hover63"/>
    <w:basedOn w:val="25"/>
    <w:autoRedefine/>
    <w:qFormat/>
    <w:uiPriority w:val="0"/>
    <w:rPr>
      <w:u w:val="single"/>
    </w:rPr>
  </w:style>
  <w:style w:type="character" w:customStyle="1" w:styleId="125">
    <w:name w:val="hover64"/>
    <w:basedOn w:val="25"/>
    <w:autoRedefine/>
    <w:qFormat/>
    <w:uiPriority w:val="0"/>
    <w:rPr>
      <w:u w:val="single"/>
    </w:rPr>
  </w:style>
  <w:style w:type="character" w:customStyle="1" w:styleId="126">
    <w:name w:val="hover65"/>
    <w:basedOn w:val="25"/>
    <w:autoRedefine/>
    <w:qFormat/>
    <w:uiPriority w:val="0"/>
    <w:rPr>
      <w:u w:val="none"/>
    </w:rPr>
  </w:style>
  <w:style w:type="character" w:customStyle="1" w:styleId="127">
    <w:name w:val="hover66"/>
    <w:basedOn w:val="25"/>
    <w:autoRedefine/>
    <w:qFormat/>
    <w:uiPriority w:val="0"/>
    <w:rPr>
      <w:u w:val="none"/>
    </w:rPr>
  </w:style>
  <w:style w:type="character" w:customStyle="1" w:styleId="128">
    <w:name w:val="hover67"/>
    <w:basedOn w:val="25"/>
    <w:autoRedefine/>
    <w:qFormat/>
    <w:uiPriority w:val="0"/>
    <w:rPr>
      <w:color w:val="3D91FF"/>
    </w:rPr>
  </w:style>
  <w:style w:type="character" w:customStyle="1" w:styleId="129">
    <w:name w:val="hover68"/>
    <w:basedOn w:val="25"/>
    <w:autoRedefine/>
    <w:qFormat/>
    <w:uiPriority w:val="0"/>
    <w:rPr>
      <w:color w:val="1632EF"/>
      <w:u w:val="single"/>
    </w:rPr>
  </w:style>
  <w:style w:type="character" w:customStyle="1" w:styleId="130">
    <w:name w:val="hover69"/>
    <w:basedOn w:val="25"/>
    <w:autoRedefine/>
    <w:qFormat/>
    <w:uiPriority w:val="0"/>
    <w:rPr>
      <w:color w:val="3C88FF"/>
    </w:rPr>
  </w:style>
  <w:style w:type="character" w:customStyle="1" w:styleId="131">
    <w:name w:val="hover70"/>
    <w:basedOn w:val="25"/>
    <w:autoRedefine/>
    <w:qFormat/>
    <w:uiPriority w:val="0"/>
    <w:rPr>
      <w:u w:val="single"/>
    </w:rPr>
  </w:style>
  <w:style w:type="character" w:customStyle="1" w:styleId="132">
    <w:name w:val="hover71"/>
    <w:basedOn w:val="25"/>
    <w:autoRedefine/>
    <w:qFormat/>
    <w:uiPriority w:val="0"/>
    <w:rPr>
      <w:color w:val="3D91FF"/>
    </w:rPr>
  </w:style>
  <w:style w:type="character" w:customStyle="1" w:styleId="133">
    <w:name w:val="hover72"/>
    <w:basedOn w:val="25"/>
    <w:autoRedefine/>
    <w:qFormat/>
    <w:uiPriority w:val="0"/>
    <w:rPr>
      <w:u w:val="single"/>
    </w:rPr>
  </w:style>
  <w:style w:type="character" w:customStyle="1" w:styleId="134">
    <w:name w:val="after4"/>
    <w:basedOn w:val="25"/>
    <w:autoRedefine/>
    <w:qFormat/>
    <w:uiPriority w:val="0"/>
  </w:style>
  <w:style w:type="character" w:customStyle="1" w:styleId="135">
    <w:name w:val="nth-child(2)1"/>
    <w:basedOn w:val="25"/>
    <w:autoRedefine/>
    <w:qFormat/>
    <w:uiPriority w:val="0"/>
  </w:style>
  <w:style w:type="character" w:customStyle="1" w:styleId="136">
    <w:name w:val="nth-of-type(1)9"/>
    <w:basedOn w:val="25"/>
    <w:autoRedefine/>
    <w:qFormat/>
    <w:uiPriority w:val="0"/>
    <w:rPr>
      <w:b/>
      <w:bCs/>
      <w:color w:val="2B74FB"/>
      <w:sz w:val="15"/>
      <w:szCs w:val="15"/>
    </w:rPr>
  </w:style>
  <w:style w:type="character" w:customStyle="1" w:styleId="137">
    <w:name w:val="nth-of-type(1)10"/>
    <w:basedOn w:val="25"/>
    <w:autoRedefine/>
    <w:qFormat/>
    <w:uiPriority w:val="0"/>
  </w:style>
  <w:style w:type="character" w:customStyle="1" w:styleId="138">
    <w:name w:val="nth-of-type(1)11"/>
    <w:basedOn w:val="25"/>
    <w:autoRedefine/>
    <w:qFormat/>
    <w:uiPriority w:val="0"/>
    <w:rPr>
      <w:color w:val="0C0C0C"/>
      <w:sz w:val="16"/>
      <w:szCs w:val="16"/>
    </w:rPr>
  </w:style>
  <w:style w:type="character" w:customStyle="1" w:styleId="139">
    <w:name w:val="nth-of-type(1)12"/>
    <w:basedOn w:val="25"/>
    <w:autoRedefine/>
    <w:qFormat/>
    <w:uiPriority w:val="0"/>
  </w:style>
  <w:style w:type="character" w:customStyle="1" w:styleId="140">
    <w:name w:val="nth-of-type(1)13"/>
    <w:basedOn w:val="25"/>
    <w:autoRedefine/>
    <w:qFormat/>
    <w:uiPriority w:val="0"/>
  </w:style>
  <w:style w:type="character" w:customStyle="1" w:styleId="141">
    <w:name w:val="hover73"/>
    <w:basedOn w:val="25"/>
    <w:autoRedefine/>
    <w:qFormat/>
    <w:uiPriority w:val="0"/>
    <w:rPr>
      <w:color w:val="3D91FF"/>
    </w:rPr>
  </w:style>
  <w:style w:type="character" w:customStyle="1" w:styleId="142">
    <w:name w:val="hover74"/>
    <w:basedOn w:val="25"/>
    <w:autoRedefine/>
    <w:qFormat/>
    <w:uiPriority w:val="0"/>
    <w:rPr>
      <w:u w:val="single"/>
    </w:rPr>
  </w:style>
  <w:style w:type="character" w:customStyle="1" w:styleId="143">
    <w:name w:val="hover75"/>
    <w:basedOn w:val="25"/>
    <w:autoRedefine/>
    <w:qFormat/>
    <w:uiPriority w:val="0"/>
    <w:rPr>
      <w:u w:val="single"/>
    </w:rPr>
  </w:style>
  <w:style w:type="character" w:customStyle="1" w:styleId="144">
    <w:name w:val="hover76"/>
    <w:basedOn w:val="25"/>
    <w:autoRedefine/>
    <w:qFormat/>
    <w:uiPriority w:val="0"/>
    <w:rPr>
      <w:u w:val="none"/>
    </w:rPr>
  </w:style>
  <w:style w:type="character" w:customStyle="1" w:styleId="145">
    <w:name w:val="hover77"/>
    <w:basedOn w:val="25"/>
    <w:autoRedefine/>
    <w:qFormat/>
    <w:uiPriority w:val="0"/>
    <w:rPr>
      <w:u w:val="single"/>
    </w:rPr>
  </w:style>
  <w:style w:type="character" w:customStyle="1" w:styleId="146">
    <w:name w:val="页脚 字符"/>
    <w:basedOn w:val="25"/>
    <w:link w:val="13"/>
    <w:autoRedefine/>
    <w:qFormat/>
    <w:uiPriority w:val="99"/>
    <w:rPr>
      <w:rFonts w:ascii="宋体"/>
      <w:sz w:val="18"/>
    </w:rPr>
  </w:style>
  <w:style w:type="character" w:customStyle="1" w:styleId="147">
    <w:name w:val="页眉 字符"/>
    <w:basedOn w:val="25"/>
    <w:link w:val="14"/>
    <w:autoRedefine/>
    <w:qFormat/>
    <w:uiPriority w:val="99"/>
    <w:rPr>
      <w:kern w:val="2"/>
      <w:sz w:val="18"/>
      <w:szCs w:val="18"/>
    </w:rPr>
  </w:style>
  <w:style w:type="paragraph" w:customStyle="1" w:styleId="148">
    <w:name w:val="msolistparagraph"/>
    <w:basedOn w:val="1"/>
    <w:autoRedefine/>
    <w:qFormat/>
    <w:uiPriority w:val="0"/>
    <w:pPr>
      <w:ind w:firstLine="420" w:firstLineChars="200"/>
    </w:pPr>
    <w:rPr>
      <w:rFonts w:ascii="Calibri" w:hAnsi="Calibri"/>
      <w:szCs w:val="22"/>
    </w:rPr>
  </w:style>
  <w:style w:type="character" w:customStyle="1" w:styleId="149">
    <w:name w:val="标题 1 字符"/>
    <w:basedOn w:val="25"/>
    <w:link w:val="4"/>
    <w:autoRedefine/>
    <w:qFormat/>
    <w:uiPriority w:val="0"/>
    <w:rPr>
      <w:b/>
      <w:bCs/>
      <w:kern w:val="44"/>
      <w:sz w:val="44"/>
      <w:szCs w:val="44"/>
    </w:rPr>
  </w:style>
  <w:style w:type="character" w:customStyle="1" w:styleId="150">
    <w:name w:val="正文缩进 字符"/>
    <w:link w:val="6"/>
    <w:autoRedefine/>
    <w:qFormat/>
    <w:uiPriority w:val="0"/>
    <w:rPr>
      <w:szCs w:val="24"/>
    </w:rPr>
  </w:style>
  <w:style w:type="character" w:customStyle="1" w:styleId="151">
    <w:name w:val="批注文字 字符"/>
    <w:basedOn w:val="25"/>
    <w:link w:val="9"/>
    <w:autoRedefine/>
    <w:qFormat/>
    <w:uiPriority w:val="0"/>
    <w:rPr>
      <w:kern w:val="2"/>
      <w:sz w:val="21"/>
      <w:szCs w:val="24"/>
    </w:rPr>
  </w:style>
  <w:style w:type="character" w:customStyle="1" w:styleId="152">
    <w:name w:val="批注主题 字符"/>
    <w:basedOn w:val="151"/>
    <w:link w:val="21"/>
    <w:autoRedefine/>
    <w:qFormat/>
    <w:uiPriority w:val="0"/>
    <w:rPr>
      <w:b/>
      <w:bCs/>
      <w:kern w:val="2"/>
      <w:sz w:val="21"/>
      <w:szCs w:val="24"/>
    </w:rPr>
  </w:style>
  <w:style w:type="paragraph" w:styleId="153">
    <w:name w:val="List Paragraph"/>
    <w:basedOn w:val="1"/>
    <w:autoRedefine/>
    <w:unhideWhenUsed/>
    <w:qFormat/>
    <w:uiPriority w:val="99"/>
    <w:pPr>
      <w:ind w:firstLine="420" w:firstLineChars="200"/>
    </w:pPr>
  </w:style>
  <w:style w:type="paragraph" w:customStyle="1" w:styleId="154">
    <w:name w:val="Table Paragraph"/>
    <w:basedOn w:val="1"/>
    <w:autoRedefine/>
    <w:qFormat/>
    <w:uiPriority w:val="0"/>
    <w:pPr>
      <w:jc w:val="left"/>
    </w:pPr>
    <w:rPr>
      <w:rFonts w:ascii="等线" w:hAnsi="等线" w:eastAsia="等线"/>
      <w:kern w:val="0"/>
      <w:sz w:val="22"/>
      <w:szCs w:val="22"/>
      <w:lang w:eastAsia="en-US"/>
    </w:rPr>
  </w:style>
  <w:style w:type="character" w:customStyle="1" w:styleId="155">
    <w:name w:val="font01"/>
    <w:basedOn w:val="25"/>
    <w:autoRedefine/>
    <w:qFormat/>
    <w:uiPriority w:val="0"/>
    <w:rPr>
      <w:rFonts w:hint="default" w:ascii="Arial" w:hAnsi="Arial" w:cs="Arial"/>
      <w:color w:val="000000"/>
      <w:sz w:val="18"/>
      <w:szCs w:val="18"/>
      <w:u w:val="none"/>
    </w:rPr>
  </w:style>
  <w:style w:type="character" w:customStyle="1" w:styleId="156">
    <w:name w:val="font51"/>
    <w:basedOn w:val="25"/>
    <w:autoRedefine/>
    <w:qFormat/>
    <w:uiPriority w:val="0"/>
    <w:rPr>
      <w:rFonts w:hint="eastAsia" w:ascii="宋体" w:hAnsi="宋体" w:eastAsia="宋体" w:cs="宋体"/>
      <w:color w:val="000000"/>
      <w:sz w:val="18"/>
      <w:szCs w:val="18"/>
      <w:u w:val="none"/>
    </w:rPr>
  </w:style>
  <w:style w:type="character" w:customStyle="1" w:styleId="157">
    <w:name w:val="标题 2 字符"/>
    <w:basedOn w:val="25"/>
    <w:link w:val="5"/>
    <w:semiHidden/>
    <w:qFormat/>
    <w:uiPriority w:val="9"/>
    <w:rPr>
      <w:rFonts w:ascii="Arial" w:hAnsi="Arial" w:eastAsia="黑体"/>
      <w:b/>
      <w:bCs/>
      <w:sz w:val="32"/>
      <w:szCs w:val="32"/>
    </w:rPr>
  </w:style>
  <w:style w:type="table" w:customStyle="1" w:styleId="158">
    <w:name w:val="Table Normal"/>
    <w:semiHidden/>
    <w:unhideWhenUsed/>
    <w:qFormat/>
    <w:uiPriority w:val="0"/>
    <w:rPr>
      <w:rFonts w:ascii="Arial" w:hAnsi="Arial" w:cs="Arial"/>
    </w:rPr>
    <w:tblPr>
      <w:tblCellMar>
        <w:top w:w="0" w:type="dxa"/>
        <w:left w:w="0" w:type="dxa"/>
        <w:bottom w:w="0" w:type="dxa"/>
        <w:right w:w="0" w:type="dxa"/>
      </w:tblCellMar>
    </w:tblPr>
  </w:style>
  <w:style w:type="paragraph" w:customStyle="1" w:styleId="159">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0"/>
      <w:szCs w:val="20"/>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DFBBD8-3196-4847-9953-9E527D9C1C3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658</Words>
  <Characters>717</Characters>
  <Lines>74</Lines>
  <Paragraphs>21</Paragraphs>
  <TotalTime>70</TotalTime>
  <ScaleCrop>false</ScaleCrop>
  <LinksUpToDate>false</LinksUpToDate>
  <CharactersWithSpaces>746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2023-04-18T06:27:00Z</dcterms:created>
  <dc:creator>lenovo</dc:creator>
  <cp:lastModifiedBy>郭梅</cp:lastModifiedBy>
  <cp:lastPrinted>2024-01-16T06:28:00Z</cp:lastPrinted>
  <dcterms:modified xsi:type="dcterms:W3CDTF">2026-06-03T02:02:33Z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69226AC358414B64AE51BF8033AA0D9B_13</vt:lpwstr>
  </property>
  <property fmtid="{D5CDD505-2E9C-101B-9397-08002B2CF9AE}" pid="4" name="KSOSaveFontToCloudKey">
    <vt:lpwstr>260772819_embed</vt:lpwstr>
  </property>
  <property fmtid="{D5CDD505-2E9C-101B-9397-08002B2CF9AE}" pid="5" name="KSOTemplateDocerSaveRecord">
    <vt:lpwstr>eyJoZGlkIjoiZTExYTA1MTQzYTU4M2UwYTA3NWY0NDg4ZGUzMzllZjEiLCJ1c2VySWQiOiI0MjY5NTY4NzQifQ==</vt:lpwstr>
  </property>
</Properties>
</file>