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overflowPunct w:val="0"/>
        <w:spacing w:line="560" w:lineRule="exact"/>
        <w:rPr>
          <w:rFonts w:hint="eastAsia" w:ascii="Calibri" w:hAnsi="仿宋_GB2312" w:eastAsia="仿宋_GB2312" w:cs="仿宋_GB2312"/>
          <w:bCs/>
          <w:sz w:val="32"/>
          <w:szCs w:val="32"/>
        </w:rPr>
      </w:pPr>
      <w:r>
        <w:rPr>
          <w:rFonts w:hint="eastAsia" w:ascii="Calibri" w:hAnsi="仿宋_GB2312" w:eastAsia="仿宋_GB2312" w:cs="仿宋_GB2312"/>
          <w:bCs/>
          <w:sz w:val="32"/>
          <w:szCs w:val="32"/>
        </w:rPr>
        <w:t>附件1：</w:t>
      </w:r>
    </w:p>
    <w:p>
      <w:pPr>
        <w:tabs>
          <w:tab w:val="left" w:pos="1980"/>
        </w:tabs>
        <w:overflowPunct w:val="0"/>
        <w:spacing w:line="560" w:lineRule="exact"/>
        <w:jc w:val="center"/>
        <w:rPr>
          <w:rFonts w:hint="eastAsia" w:ascii="Calibri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Calibri" w:hAnsi="方正小标宋简体" w:eastAsia="方正小标宋简体" w:cs="方正小标宋简体"/>
          <w:bCs/>
          <w:sz w:val="44"/>
          <w:szCs w:val="44"/>
        </w:rPr>
        <w:t>首届“IDEA奖”创意共享（宁夏）</w:t>
      </w:r>
    </w:p>
    <w:p>
      <w:pPr>
        <w:tabs>
          <w:tab w:val="left" w:pos="1980"/>
        </w:tabs>
        <w:overflowPunct w:val="0"/>
        <w:spacing w:line="560" w:lineRule="exact"/>
        <w:jc w:val="center"/>
        <w:rPr>
          <w:rFonts w:hint="eastAsia" w:ascii="Calibri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Calibri" w:hAnsi="方正小标宋简体" w:eastAsia="方正小标宋简体" w:cs="方正小标宋简体"/>
          <w:bCs/>
          <w:sz w:val="44"/>
          <w:szCs w:val="44"/>
        </w:rPr>
        <w:t>3D设计大赛主体方案</w:t>
      </w:r>
    </w:p>
    <w:p>
      <w:pPr>
        <w:tabs>
          <w:tab w:val="left" w:pos="1980"/>
        </w:tabs>
        <w:overflowPunct w:val="0"/>
        <w:spacing w:line="560" w:lineRule="exact"/>
        <w:rPr>
          <w:rFonts w:ascii="Calibri" w:hAnsi="微软雅黑" w:eastAsia="微软雅黑" w:cs="Arial"/>
          <w:bCs/>
          <w:color w:val="000000"/>
          <w:kern w:val="0"/>
          <w:sz w:val="36"/>
          <w:szCs w:val="36"/>
        </w:rPr>
      </w:pPr>
    </w:p>
    <w:p>
      <w:pPr>
        <w:pStyle w:val="2"/>
        <w:numPr>
          <w:ilvl w:val="0"/>
          <w:numId w:val="1"/>
        </w:numPr>
        <w:shd w:val="clear" w:color="auto" w:fill="FFFFFF"/>
        <w:overflowPunct w:val="0"/>
        <w:spacing w:beforeAutospacing="0" w:afterAutospacing="0" w:line="560" w:lineRule="exact"/>
        <w:ind w:left="0" w:firstLine="600" w:firstLineChars="200"/>
        <w:jc w:val="both"/>
        <w:textAlignment w:val="baseline"/>
        <w:rPr>
          <w:rFonts w:hint="eastAsia" w:ascii="Calibri" w:hAnsi="黑体" w:eastAsia="黑体" w:cs="Times New Roman"/>
          <w:bCs/>
          <w:kern w:val="2"/>
          <w:sz w:val="30"/>
          <w:szCs w:val="30"/>
        </w:rPr>
      </w:pPr>
      <w:r>
        <w:rPr>
          <w:rFonts w:hint="eastAsia" w:ascii="Calibri" w:hAnsi="黑体" w:eastAsia="黑体" w:cs="Times New Roman"/>
          <w:bCs/>
          <w:kern w:val="2"/>
          <w:sz w:val="30"/>
          <w:szCs w:val="30"/>
        </w:rPr>
        <w:t>大赛背景</w:t>
      </w:r>
    </w:p>
    <w:p>
      <w:pPr>
        <w:pStyle w:val="2"/>
        <w:shd w:val="clear" w:color="auto" w:fill="FFFFFF"/>
        <w:overflowPunct w:val="0"/>
        <w:spacing w:beforeAutospacing="0" w:afterAutospacing="0" w:line="560" w:lineRule="exact"/>
        <w:ind w:firstLine="600" w:firstLineChars="200"/>
        <w:jc w:val="both"/>
        <w:textAlignment w:val="baseline"/>
        <w:rPr>
          <w:rFonts w:hint="eastAsia" w:ascii="Calibri" w:hAnsi="仿宋" w:eastAsia="仿宋" w:cs="Times New Roman"/>
          <w:kern w:val="2"/>
          <w:sz w:val="30"/>
          <w:szCs w:val="30"/>
        </w:rPr>
      </w:pPr>
      <w:r>
        <w:rPr>
          <w:rFonts w:hint="eastAsia" w:ascii="Calibri" w:hAnsi="仿宋" w:eastAsia="仿宋" w:cs="Times New Roman"/>
          <w:kern w:val="2"/>
          <w:sz w:val="30"/>
          <w:szCs w:val="30"/>
        </w:rPr>
        <w:t>3D打印作为“第三次工业革命”三大核心技术之一，随着智能制造技术的不断发展，已被广泛的应用到汽车、航空航天、文娱产品、创意设计、医疗器械等制造领域，它对于生产方式的变革正在日趋深刻。</w:t>
      </w:r>
    </w:p>
    <w:p>
      <w:pPr>
        <w:pStyle w:val="2"/>
        <w:shd w:val="clear" w:color="auto" w:fill="FFFFFF"/>
        <w:overflowPunct w:val="0"/>
        <w:spacing w:beforeAutospacing="0" w:afterAutospacing="0" w:line="560" w:lineRule="exact"/>
        <w:ind w:firstLine="600" w:firstLineChars="200"/>
        <w:jc w:val="both"/>
        <w:textAlignment w:val="baseline"/>
        <w:rPr>
          <w:rFonts w:ascii="Calibri" w:hAnsi="仿宋" w:eastAsia="仿宋" w:cs="Times New Roman"/>
          <w:kern w:val="2"/>
          <w:sz w:val="30"/>
          <w:szCs w:val="30"/>
        </w:rPr>
      </w:pPr>
      <w:r>
        <w:rPr>
          <w:rFonts w:hint="eastAsia" w:ascii="Calibri" w:hAnsi="仿宋" w:eastAsia="仿宋" w:cs="Times New Roman"/>
          <w:kern w:val="2"/>
          <w:sz w:val="30"/>
          <w:szCs w:val="30"/>
        </w:rPr>
        <w:t>2017年9月，《宁夏回族自治区党委 人民政府关于推进创新驱动战略的实施意见》文件中提出要打造多层次“双创”载体，大力发展众创空间，鼓励高校、企业、园区、科研院所建设创业孵化基地和创业园区，降低大众创业创新门槛，助力实体经济创新成长；支持产学研协同创新，坚持需求导向和产业化方向，探索多形式协同创新模式，深化产学研、促进产业链和创新链深度融合，在精细化工、3D打印、智能制造等领域实现新突破。</w:t>
      </w:r>
    </w:p>
    <w:p>
      <w:pPr>
        <w:pStyle w:val="2"/>
        <w:shd w:val="clear" w:color="auto" w:fill="FFFFFF"/>
        <w:overflowPunct w:val="0"/>
        <w:spacing w:beforeAutospacing="0" w:afterAutospacing="0" w:line="560" w:lineRule="exact"/>
        <w:ind w:firstLine="600" w:firstLineChars="200"/>
        <w:jc w:val="both"/>
        <w:textAlignment w:val="baseline"/>
        <w:rPr>
          <w:rFonts w:hint="eastAsia" w:ascii="Calibri" w:hAnsi="仿宋" w:eastAsia="仿宋" w:cs="Times New Roman"/>
          <w:kern w:val="2"/>
          <w:sz w:val="30"/>
          <w:szCs w:val="30"/>
        </w:rPr>
      </w:pPr>
      <w:r>
        <w:rPr>
          <w:rFonts w:hint="eastAsia" w:ascii="Calibri" w:hAnsi="仿宋" w:eastAsia="仿宋" w:cs="Times New Roman"/>
          <w:kern w:val="2"/>
          <w:sz w:val="30"/>
          <w:szCs w:val="30"/>
        </w:rPr>
        <w:t>为贯彻落实自治区创新驱动战略，在自治区科技厅（或自治区教育厅、或自治区经济和信息化委员会、或自治区发展与改革委员会）的指导下，国家智能铸造产业创新中心与宁夏大学、北方民族大学、宁夏职业技术学院等高等院校联合举办“首届‘IDEA奖（Innovative Design Excellence Awards）’创意共享（宁夏）3D设计大赛”，旨在通过产学研协同创新，推动产教融合、校企联合，激发宁夏高校学生及社会创客创新创造活力，营造“大众创业、万众创新”的良好氛围。</w:t>
      </w:r>
    </w:p>
    <w:p>
      <w:pPr>
        <w:pStyle w:val="2"/>
        <w:numPr>
          <w:ilvl w:val="0"/>
          <w:numId w:val="1"/>
        </w:numPr>
        <w:shd w:val="clear" w:color="auto" w:fill="FFFFFF"/>
        <w:overflowPunct w:val="0"/>
        <w:spacing w:beforeAutospacing="0" w:afterAutospacing="0" w:line="560" w:lineRule="exact"/>
        <w:ind w:left="0" w:firstLine="600" w:firstLineChars="200"/>
        <w:jc w:val="both"/>
        <w:textAlignment w:val="baseline"/>
        <w:rPr>
          <w:rFonts w:hint="eastAsia" w:ascii="Calibri" w:hAnsi="黑体" w:eastAsia="黑体" w:cs="Times New Roman"/>
          <w:bCs/>
          <w:kern w:val="2"/>
          <w:sz w:val="30"/>
          <w:szCs w:val="30"/>
        </w:rPr>
      </w:pPr>
      <w:r>
        <w:rPr>
          <w:rFonts w:hint="eastAsia" w:ascii="Calibri" w:hAnsi="黑体" w:eastAsia="黑体" w:cs="Times New Roman"/>
          <w:bCs/>
          <w:kern w:val="2"/>
          <w:sz w:val="30"/>
          <w:szCs w:val="30"/>
        </w:rPr>
        <w:t>大赛主题</w:t>
      </w:r>
    </w:p>
    <w:p>
      <w:pPr>
        <w:pStyle w:val="2"/>
        <w:shd w:val="clear" w:color="auto" w:fill="FFFFFF"/>
        <w:overflowPunct w:val="0"/>
        <w:spacing w:beforeAutospacing="0" w:afterAutospacing="0" w:line="560" w:lineRule="exact"/>
        <w:ind w:firstLine="600" w:firstLineChars="200"/>
        <w:jc w:val="both"/>
        <w:textAlignment w:val="baseline"/>
        <w:rPr>
          <w:rFonts w:ascii="Calibri" w:hAnsi="仿宋" w:eastAsia="仿宋" w:cs="Times New Roman"/>
          <w:kern w:val="2"/>
          <w:sz w:val="30"/>
          <w:szCs w:val="30"/>
        </w:rPr>
      </w:pPr>
      <w:r>
        <w:rPr>
          <w:rFonts w:hint="eastAsia" w:ascii="Calibri" w:hAnsi="仿宋" w:eastAsia="仿宋" w:cs="Times New Roman"/>
          <w:kern w:val="2"/>
          <w:sz w:val="30"/>
          <w:szCs w:val="30"/>
        </w:rPr>
        <w:t>创意引领 · 智造</w:t>
      </w:r>
      <w:bookmarkStart w:id="0" w:name="_Toc518484129"/>
      <w:r>
        <w:rPr>
          <w:rFonts w:hint="eastAsia" w:ascii="Calibri" w:hAnsi="仿宋" w:eastAsia="仿宋" w:cs="Times New Roman"/>
          <w:kern w:val="2"/>
          <w:sz w:val="30"/>
          <w:szCs w:val="30"/>
        </w:rPr>
        <w:t>未来</w:t>
      </w:r>
    </w:p>
    <w:p>
      <w:pPr>
        <w:pStyle w:val="2"/>
        <w:numPr>
          <w:ilvl w:val="0"/>
          <w:numId w:val="1"/>
        </w:numPr>
        <w:shd w:val="clear" w:color="auto" w:fill="FFFFFF"/>
        <w:overflowPunct w:val="0"/>
        <w:spacing w:beforeAutospacing="0" w:afterAutospacing="0" w:line="560" w:lineRule="exact"/>
        <w:ind w:left="0" w:firstLine="600" w:firstLineChars="200"/>
        <w:jc w:val="both"/>
        <w:textAlignment w:val="baseline"/>
        <w:rPr>
          <w:rFonts w:hint="eastAsia" w:ascii="Calibri" w:hAnsi="黑体" w:eastAsia="黑体" w:cs="Times New Roman"/>
          <w:bCs/>
          <w:kern w:val="2"/>
          <w:sz w:val="30"/>
          <w:szCs w:val="30"/>
        </w:rPr>
      </w:pPr>
      <w:r>
        <w:rPr>
          <w:rFonts w:hint="eastAsia" w:ascii="Calibri" w:hAnsi="黑体" w:eastAsia="黑体" w:cs="Times New Roman"/>
          <w:bCs/>
          <w:kern w:val="2"/>
          <w:sz w:val="30"/>
          <w:szCs w:val="30"/>
        </w:rPr>
        <w:t>组织</w:t>
      </w:r>
      <w:bookmarkEnd w:id="0"/>
      <w:r>
        <w:rPr>
          <w:rFonts w:hint="eastAsia" w:ascii="Calibri" w:hAnsi="黑体" w:eastAsia="黑体" w:cs="Times New Roman"/>
          <w:bCs/>
          <w:kern w:val="2"/>
          <w:sz w:val="30"/>
          <w:szCs w:val="30"/>
        </w:rPr>
        <w:t>机构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 xml:space="preserve">主办单位：     </w:t>
      </w:r>
    </w:p>
    <w:p>
      <w:pPr>
        <w:overflowPunct w:val="0"/>
        <w:spacing w:line="560" w:lineRule="exact"/>
        <w:ind w:firstLine="6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宁夏回族自治区科学技术厅</w:t>
      </w:r>
    </w:p>
    <w:p>
      <w:pPr>
        <w:overflowPunct w:val="0"/>
        <w:spacing w:line="560" w:lineRule="exact"/>
        <w:ind w:firstLine="6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共享集团股份有限公司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联合承办单位：</w:t>
      </w:r>
    </w:p>
    <w:p>
      <w:pPr>
        <w:overflowPunct w:val="0"/>
        <w:spacing w:line="560" w:lineRule="exact"/>
        <w:ind w:left="630" w:leftChars="3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国家智能铸造产业创新中心、宁夏大学、北方民族大学、宁夏医科大学、宁夏职业技术学院、宁夏理工学院、宁夏师范学院、银川能源学院、中国矿业大学银川学院、宁夏大学新华学院、宁夏民族职业技术学院、宁夏工业职业学院等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支持单位：</w:t>
      </w:r>
    </w:p>
    <w:p>
      <w:pPr>
        <w:overflowPunct w:val="0"/>
        <w:spacing w:line="560" w:lineRule="exact"/>
        <w:ind w:firstLine="6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待定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协办单位：</w:t>
      </w:r>
    </w:p>
    <w:p>
      <w:pPr>
        <w:overflowPunct w:val="0"/>
        <w:spacing w:line="560" w:lineRule="exact"/>
        <w:ind w:firstLine="6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宁夏科技发展战略和信息研究所</w:t>
      </w:r>
    </w:p>
    <w:p>
      <w:pPr>
        <w:overflowPunct w:val="0"/>
        <w:spacing w:line="560" w:lineRule="exact"/>
        <w:ind w:firstLine="600"/>
        <w:rPr>
          <w:rFonts w:hint="eastAsia" w:ascii="Calibri" w:hAnsi="仿宋" w:eastAsia="仿宋"/>
          <w:sz w:val="30"/>
          <w:szCs w:val="30"/>
          <w:lang w:eastAsia="zh-CN"/>
        </w:rPr>
      </w:pPr>
      <w:r>
        <w:rPr>
          <w:rFonts w:hint="eastAsia" w:ascii="Calibri" w:hAnsi="仿宋" w:eastAsia="仿宋"/>
          <w:sz w:val="30"/>
          <w:szCs w:val="30"/>
          <w:lang w:eastAsia="zh-CN"/>
        </w:rPr>
        <w:t>宁夏生产力促进中心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支持媒体：</w:t>
      </w:r>
    </w:p>
    <w:p>
      <w:pPr>
        <w:overflowPunct w:val="0"/>
        <w:spacing w:line="560" w:lineRule="exact"/>
        <w:ind w:left="630" w:leftChars="3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宁夏经济频道、宁夏交通广播、宁夏广电网、宁夏日报、银川日报、银川电视台等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大赛组委会：</w:t>
      </w:r>
    </w:p>
    <w:p>
      <w:pPr>
        <w:overflowPunct w:val="0"/>
        <w:spacing w:line="560" w:lineRule="exact"/>
        <w:ind w:firstLine="602" w:firstLineChars="200"/>
        <w:contextualSpacing/>
        <w:rPr>
          <w:rFonts w:ascii="Calibri" w:hAnsi="仿宋" w:eastAsia="仿宋"/>
          <w:b/>
          <w:sz w:val="30"/>
          <w:szCs w:val="30"/>
        </w:rPr>
      </w:pPr>
      <w:r>
        <w:rPr>
          <w:rFonts w:hint="eastAsia" w:ascii="Calibri" w:hAnsi="仿宋" w:eastAsia="仿宋"/>
          <w:b/>
          <w:sz w:val="30"/>
          <w:szCs w:val="30"/>
        </w:rPr>
        <w:t>主任：</w:t>
      </w:r>
    </w:p>
    <w:p>
      <w:pPr>
        <w:overflowPunct w:val="0"/>
        <w:spacing w:line="560" w:lineRule="exact"/>
        <w:ind w:firstLine="600" w:firstLineChars="200"/>
        <w:contextualSpacing/>
        <w:rPr>
          <w:rFonts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郭秉晨  宁夏回族自治区科学技术厅党组书记、厅长</w:t>
      </w:r>
    </w:p>
    <w:p>
      <w:pPr>
        <w:overflowPunct w:val="0"/>
        <w:spacing w:line="560" w:lineRule="exact"/>
        <w:ind w:firstLine="602" w:firstLineChars="200"/>
        <w:contextualSpacing/>
        <w:rPr>
          <w:rFonts w:ascii="Calibri" w:hAnsi="仿宋" w:eastAsia="仿宋"/>
          <w:b/>
          <w:sz w:val="30"/>
          <w:szCs w:val="30"/>
        </w:rPr>
      </w:pPr>
      <w:r>
        <w:rPr>
          <w:rFonts w:ascii="Calibri" w:hAnsi="仿宋" w:eastAsia="仿宋"/>
          <w:b/>
          <w:sz w:val="30"/>
          <w:szCs w:val="30"/>
        </w:rPr>
        <w:t>副主任</w:t>
      </w:r>
      <w:r>
        <w:rPr>
          <w:rFonts w:hint="eastAsia" w:ascii="Calibri" w:hAnsi="仿宋" w:eastAsia="仿宋"/>
          <w:b/>
          <w:sz w:val="30"/>
          <w:szCs w:val="30"/>
        </w:rPr>
        <w:t>：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何建国  宁夏大学党委副书记、校长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郭郁烈  北方民族大学党委副书记、校长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马希荣  宁夏职业技术学院党委副书记、院（校）长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彭  凡  共享集团股份有限公司董事长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......</w:t>
      </w:r>
    </w:p>
    <w:p>
      <w:pPr>
        <w:overflowPunct w:val="0"/>
        <w:spacing w:line="560" w:lineRule="exact"/>
        <w:ind w:firstLine="602" w:firstLineChars="200"/>
        <w:contextualSpacing/>
        <w:rPr>
          <w:rFonts w:hint="eastAsia" w:ascii="Calibri" w:hAnsi="仿宋" w:eastAsia="仿宋"/>
          <w:b/>
          <w:bCs/>
          <w:sz w:val="30"/>
          <w:szCs w:val="30"/>
        </w:rPr>
      </w:pPr>
      <w:r>
        <w:rPr>
          <w:rFonts w:hint="eastAsia" w:ascii="Calibri" w:hAnsi="仿宋" w:eastAsia="仿宋"/>
          <w:b/>
          <w:bCs/>
          <w:sz w:val="30"/>
          <w:szCs w:val="30"/>
        </w:rPr>
        <w:t>成员：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张  儒  宁夏回族自治区科学技术厅工业科技处处长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叶学军  宁夏回族自治区科学技术厅工业科技处调研员</w:t>
      </w:r>
    </w:p>
    <w:p>
      <w:pPr>
        <w:overflowPunct w:val="0"/>
        <w:spacing w:line="560" w:lineRule="exact"/>
        <w:ind w:firstLine="600" w:firstLineChars="200"/>
        <w:contextualSpacing/>
        <w:rPr>
          <w:rFonts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何文寿  宁夏大学创新创业学院院长、教授</w:t>
      </w:r>
    </w:p>
    <w:p>
      <w:pPr>
        <w:overflowPunct w:val="0"/>
        <w:spacing w:line="560" w:lineRule="exact"/>
        <w:ind w:firstLine="600" w:firstLineChars="200"/>
        <w:contextualSpacing/>
        <w:rPr>
          <w:rFonts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王福平  北方民族大学创新创业学院院长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杨  军  国家智能铸造产业创新中心总经理</w:t>
      </w:r>
    </w:p>
    <w:p>
      <w:pPr>
        <w:overflowPunct w:val="0"/>
        <w:spacing w:line="560" w:lineRule="exact"/>
        <w:ind w:firstLine="600" w:firstLineChars="200"/>
        <w:contextualSpacing/>
        <w:rPr>
          <w:rFonts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......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评审委员会：</w:t>
      </w:r>
    </w:p>
    <w:p>
      <w:pPr>
        <w:overflowPunct w:val="0"/>
        <w:spacing w:line="560" w:lineRule="exact"/>
        <w:ind w:firstLine="600" w:firstLineChars="200"/>
        <w:contextualSpacing/>
        <w:rPr>
          <w:rFonts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何文寿  宁夏大学创新创业学院院长、教授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王福平  北方名族大学创新创业学院院长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  <w:highlight w:val="yellow"/>
          <w:lang w:eastAsia="zh-CN"/>
        </w:rPr>
      </w:pPr>
      <w:r>
        <w:rPr>
          <w:rFonts w:hint="eastAsia" w:ascii="Calibri" w:hAnsi="仿宋" w:eastAsia="仿宋"/>
          <w:sz w:val="30"/>
          <w:szCs w:val="30"/>
          <w:highlight w:val="yellow"/>
          <w:lang w:eastAsia="zh-CN"/>
        </w:rPr>
        <w:t>赵建宁</w:t>
      </w:r>
      <w:r>
        <w:rPr>
          <w:rFonts w:hint="eastAsia" w:ascii="Calibri" w:hAnsi="仿宋" w:eastAsia="仿宋"/>
          <w:sz w:val="30"/>
          <w:szCs w:val="30"/>
          <w:highlight w:val="yellow"/>
          <w:lang w:val="en-US" w:eastAsia="zh-CN"/>
        </w:rPr>
        <w:t xml:space="preserve">  </w:t>
      </w:r>
      <w:r>
        <w:rPr>
          <w:rFonts w:hint="eastAsia" w:ascii="Calibri" w:hAnsi="仿宋" w:eastAsia="仿宋"/>
          <w:sz w:val="30"/>
          <w:szCs w:val="30"/>
          <w:highlight w:val="yellow"/>
          <w:lang w:eastAsia="zh-CN"/>
        </w:rPr>
        <w:t>宁夏职业技术学院科技开发处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杨  军  国家智能铸造产业创新中心总经理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……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仿宋" w:eastAsia="仿宋" w:cs="Times New Roman"/>
          <w:kern w:val="2"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颁证机构：</w:t>
      </w:r>
      <w:r>
        <w:rPr>
          <w:rFonts w:hint="eastAsia" w:ascii="Calibri" w:hAnsi="仿宋" w:eastAsia="仿宋" w:cs="Times New Roman"/>
          <w:kern w:val="2"/>
          <w:sz w:val="30"/>
          <w:szCs w:val="30"/>
        </w:rPr>
        <w:t>宁夏回族自治区科学技术厅</w:t>
      </w:r>
    </w:p>
    <w:p>
      <w:pPr>
        <w:pStyle w:val="5"/>
        <w:numPr>
          <w:ilvl w:val="0"/>
          <w:numId w:val="2"/>
        </w:numPr>
        <w:overflowPunct w:val="0"/>
        <w:spacing w:line="560" w:lineRule="exact"/>
        <w:ind w:left="0" w:firstLine="602" w:firstLineChars="200"/>
        <w:rPr>
          <w:rFonts w:hint="eastAsia" w:ascii="Calibri" w:hAnsi="楷体" w:eastAsia="楷体" w:cs="楷体"/>
          <w:b/>
          <w:sz w:val="30"/>
          <w:szCs w:val="30"/>
        </w:rPr>
      </w:pPr>
      <w:r>
        <w:rPr>
          <w:rFonts w:hint="eastAsia" w:ascii="Calibri" w:hAnsi="楷体" w:eastAsia="楷体" w:cs="楷体"/>
          <w:b/>
          <w:sz w:val="30"/>
          <w:szCs w:val="30"/>
        </w:rPr>
        <w:t>联系电话：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郭军军  13639597701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张霏龙  18161595393</w:t>
      </w:r>
    </w:p>
    <w:p>
      <w:pPr>
        <w:overflowPunct w:val="0"/>
        <w:spacing w:line="560" w:lineRule="exact"/>
        <w:ind w:firstLine="600" w:firstLineChars="200"/>
        <w:contextualSpacing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 xml:space="preserve">冯正焜  17609512344   </w:t>
      </w:r>
    </w:p>
    <w:p>
      <w:pPr>
        <w:pStyle w:val="2"/>
        <w:numPr>
          <w:ilvl w:val="0"/>
          <w:numId w:val="1"/>
        </w:numPr>
        <w:shd w:val="clear" w:color="auto" w:fill="FFFFFF"/>
        <w:overflowPunct w:val="0"/>
        <w:spacing w:beforeAutospacing="0" w:afterAutospacing="0" w:line="560" w:lineRule="exact"/>
        <w:ind w:left="0" w:firstLine="600" w:firstLineChars="200"/>
        <w:jc w:val="both"/>
        <w:textAlignment w:val="baseline"/>
        <w:rPr>
          <w:rFonts w:hint="eastAsia" w:ascii="Calibri" w:hAnsi="黑体" w:eastAsia="黑体" w:cs="Times New Roman"/>
          <w:bCs/>
          <w:kern w:val="2"/>
          <w:sz w:val="30"/>
          <w:szCs w:val="30"/>
        </w:rPr>
      </w:pPr>
      <w:r>
        <w:rPr>
          <w:rFonts w:hint="eastAsia" w:ascii="Calibri" w:hAnsi="黑体" w:eastAsia="黑体" w:cs="Times New Roman"/>
          <w:bCs/>
          <w:kern w:val="2"/>
          <w:sz w:val="30"/>
          <w:szCs w:val="30"/>
        </w:rPr>
        <w:t>时间地点</w:t>
      </w:r>
    </w:p>
    <w:p>
      <w:pPr>
        <w:overflowPunct w:val="0"/>
        <w:spacing w:line="560" w:lineRule="exact"/>
        <w:ind w:firstLine="600" w:firstLineChars="2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时间：2018年</w:t>
      </w:r>
      <w:r>
        <w:rPr>
          <w:rFonts w:hint="eastAsia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Calibri" w:hAnsi="仿宋" w:eastAsia="仿宋"/>
          <w:sz w:val="30"/>
          <w:szCs w:val="30"/>
        </w:rPr>
        <w:t>月</w:t>
      </w:r>
      <w:r>
        <w:rPr>
          <w:rFonts w:hint="eastAsia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Calibri" w:hAnsi="仿宋" w:eastAsia="仿宋"/>
          <w:sz w:val="30"/>
          <w:szCs w:val="30"/>
        </w:rPr>
        <w:t>日——2018年</w:t>
      </w:r>
      <w:r>
        <w:rPr>
          <w:rFonts w:hint="eastAsia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Calibri" w:hAnsi="仿宋" w:eastAsia="仿宋"/>
          <w:sz w:val="30"/>
          <w:szCs w:val="30"/>
        </w:rPr>
        <w:t>月</w:t>
      </w:r>
      <w:r>
        <w:rPr>
          <w:rFonts w:hint="eastAsia" w:hAnsi="仿宋" w:eastAsia="仿宋"/>
          <w:sz w:val="30"/>
          <w:szCs w:val="30"/>
          <w:lang w:val="en-US" w:eastAsia="zh-CN"/>
        </w:rPr>
        <w:t>26</w:t>
      </w:r>
      <w:r>
        <w:rPr>
          <w:rFonts w:hint="eastAsia" w:ascii="Calibri" w:hAnsi="仿宋" w:eastAsia="仿宋"/>
          <w:sz w:val="30"/>
          <w:szCs w:val="30"/>
        </w:rPr>
        <w:t>日</w:t>
      </w:r>
    </w:p>
    <w:p>
      <w:pPr>
        <w:overflowPunct w:val="0"/>
        <w:spacing w:line="560" w:lineRule="exact"/>
        <w:ind w:firstLine="600" w:firstLineChars="200"/>
        <w:rPr>
          <w:rFonts w:hint="eastAsia" w:ascii="Calibri" w:hAnsi="仿宋" w:eastAsia="仿宋"/>
          <w:sz w:val="30"/>
          <w:szCs w:val="30"/>
        </w:rPr>
      </w:pPr>
      <w:r>
        <w:rPr>
          <w:rFonts w:hint="eastAsia" w:ascii="Calibri" w:hAnsi="仿宋" w:eastAsia="仿宋"/>
          <w:sz w:val="30"/>
          <w:szCs w:val="30"/>
        </w:rPr>
        <w:t>会场：宁夏大学多媒体厅（仅决赛场地）</w:t>
      </w:r>
    </w:p>
    <w:p>
      <w:pPr>
        <w:pStyle w:val="2"/>
        <w:numPr>
          <w:ilvl w:val="0"/>
          <w:numId w:val="1"/>
        </w:numPr>
        <w:shd w:val="clear" w:color="auto" w:fill="FFFFFF"/>
        <w:overflowPunct w:val="0"/>
        <w:spacing w:beforeAutospacing="0" w:afterAutospacing="0" w:line="560" w:lineRule="exact"/>
        <w:ind w:left="0" w:firstLine="600" w:firstLineChars="200"/>
        <w:jc w:val="both"/>
        <w:textAlignment w:val="baseline"/>
        <w:rPr>
          <w:rFonts w:hint="eastAsia" w:ascii="Calibri" w:hAnsi="黑体" w:eastAsia="黑体" w:cs="Times New Roman"/>
          <w:bCs/>
          <w:kern w:val="2"/>
          <w:sz w:val="30"/>
          <w:szCs w:val="30"/>
        </w:rPr>
      </w:pPr>
      <w:r>
        <w:rPr>
          <w:rFonts w:hint="eastAsia" w:ascii="Calibri" w:hAnsi="黑体" w:eastAsia="黑体" w:cs="Times New Roman"/>
          <w:bCs/>
          <w:kern w:val="2"/>
          <w:sz w:val="30"/>
          <w:szCs w:val="30"/>
        </w:rPr>
        <w:t>大赛流程</w:t>
      </w:r>
    </w:p>
    <w:tbl>
      <w:tblPr>
        <w:tblStyle w:val="4"/>
        <w:tblW w:w="8522" w:type="dxa"/>
        <w:tblInd w:w="0" w:type="dxa"/>
        <w:tblBorders>
          <w:top w:val="single" w:color="A5A5A5" w:sz="8" w:space="0"/>
          <w:left w:val="none" w:color="auto" w:sz="0" w:space="0"/>
          <w:bottom w:val="single" w:color="A5A5A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tcBorders>
              <w:top w:val="single" w:color="A5A5A5" w:sz="8" w:space="0"/>
              <w:left w:val="nil"/>
              <w:bottom w:val="single" w:color="A5A5A5" w:sz="8" w:space="0"/>
              <w:right w:val="nil"/>
            </w:tcBorders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比赛时间（2018年）</w:t>
            </w:r>
          </w:p>
        </w:tc>
        <w:tc>
          <w:tcPr>
            <w:tcW w:w="4261" w:type="dxa"/>
            <w:tcBorders>
              <w:top w:val="single" w:color="A5A5A5" w:sz="8" w:space="0"/>
              <w:bottom w:val="single" w:color="A5A5A5" w:sz="8" w:space="0"/>
              <w:right w:val="nil"/>
            </w:tcBorders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b/>
                <w:bCs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赛事流程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Calibri" w:hAnsi="黑体" w:eastAsia="仿宋" w:cs="Times New Roman"/>
                <w:color w:val="7B7B7B"/>
                <w:kern w:val="2"/>
                <w:lang w:eastAsia="zh-CN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前</w:t>
            </w:r>
          </w:p>
        </w:tc>
        <w:tc>
          <w:tcPr>
            <w:tcW w:w="4261" w:type="dxa"/>
            <w:tcBorders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Calibri" w:hAnsi="黑体" w:eastAsia="仿宋" w:cs="Times New Roman"/>
                <w:b/>
                <w:bCs/>
                <w:color w:val="7B7B7B"/>
                <w:kern w:val="2"/>
                <w:lang w:eastAsia="zh-CN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大赛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准备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日-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19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参赛动员会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四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场）及观摩参观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20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日-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11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15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</w:p>
        </w:tc>
        <w:tc>
          <w:tcPr>
            <w:tcW w:w="4261" w:type="dxa"/>
            <w:tcBorders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Calibri" w:hAnsi="仿宋" w:eastAsia="仿宋" w:cs="Times New Roman"/>
                <w:b/>
                <w:bCs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注册报名、作品准备及上传（52天）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11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16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日-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11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22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初赛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（网络投票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、专家网上评审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）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Calibri" w:hAnsi="仿宋" w:eastAsia="仿宋" w:cs="Times New Roman"/>
                <w:color w:val="7B7B7B"/>
                <w:kern w:val="2"/>
                <w:lang w:val="en-US" w:eastAsia="zh-CN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11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23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-11月25日</w:t>
            </w:r>
          </w:p>
        </w:tc>
        <w:tc>
          <w:tcPr>
            <w:tcW w:w="4261" w:type="dxa"/>
            <w:tcBorders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eastAsia="zh-CN"/>
              </w:rPr>
              <w:t>作品公示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11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26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Calibri" w:hAnsi="仿宋" w:eastAsia="仿宋" w:cs="Times New Roman"/>
                <w:b/>
                <w:bCs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决赛</w:t>
            </w:r>
          </w:p>
        </w:tc>
      </w:tr>
      <w:tr>
        <w:tblPrEx>
          <w:tblBorders>
            <w:top w:val="single" w:color="A5A5A5" w:sz="8" w:space="0"/>
            <w:left w:val="none" w:color="auto" w:sz="0" w:space="0"/>
            <w:bottom w:val="single" w:color="A5A5A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61" w:type="dxa"/>
            <w:tcBorders>
              <w:left w:val="nil"/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Calibri" w:hAnsi="仿宋" w:eastAsia="仿宋" w:cs="Times New Roman"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11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月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  <w:lang w:val="en-US" w:eastAsia="zh-CN"/>
              </w:rPr>
              <w:t>26</w:t>
            </w: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日</w:t>
            </w:r>
          </w:p>
        </w:tc>
        <w:tc>
          <w:tcPr>
            <w:tcW w:w="4261" w:type="dxa"/>
            <w:tcBorders>
              <w:right w:val="nil"/>
            </w:tcBorders>
            <w:shd w:val="clear" w:color="auto" w:fill="E8E8E8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Calibri" w:hAnsi="仿宋" w:eastAsia="仿宋" w:cs="Times New Roman"/>
                <w:b/>
                <w:bCs/>
                <w:color w:val="7B7B7B"/>
                <w:kern w:val="2"/>
              </w:rPr>
            </w:pPr>
            <w:r>
              <w:rPr>
                <w:rFonts w:hint="eastAsia" w:ascii="Calibri" w:hAnsi="仿宋" w:eastAsia="仿宋" w:cs="Times New Roman"/>
                <w:b/>
                <w:bCs/>
                <w:color w:val="7B7B7B"/>
                <w:kern w:val="2"/>
              </w:rPr>
              <w:t>颁奖仪式</w:t>
            </w:r>
          </w:p>
        </w:tc>
      </w:tr>
    </w:tbl>
    <w:p>
      <w:pPr>
        <w:rPr>
          <w:rFonts w:ascii="Calibri"/>
        </w:rPr>
      </w:pPr>
    </w:p>
    <w:p>
      <w:r>
        <w:rPr>
          <w:rFonts w:hint="eastAsia" w:ascii="Calibri" w:hAnsi="仿宋" w:eastAsia="仿宋" w:cs="Times New Roman"/>
          <w:sz w:val="30"/>
          <w:szCs w:val="30"/>
          <w:lang w:val="en-US" w:eastAsia="zh-CN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3B38"/>
    <w:multiLevelType w:val="multilevel"/>
    <w:tmpl w:val="75CE3B38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4D28C6"/>
    <w:multiLevelType w:val="multilevel"/>
    <w:tmpl w:val="774D28C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1275" w:hanging="8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846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0291A"/>
    <w:rsid w:val="469029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2018-10-22T04:56:00Z</dcterms:created>
  <dc:creator>Administrator</dc:creator>
  <cp:lastModifiedBy>Administrator</cp:lastModifiedBy>
  <dcterms:modified xsi:type="dcterms:W3CDTF">2018-10-22T04:58:12Z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